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F188" w14:textId="21F80AC9" w:rsidR="003E1DD8" w:rsidRPr="003E1DD8" w:rsidRDefault="003E1DD8" w:rsidP="003E1DD8">
      <w:pPr>
        <w:pStyle w:val="TITOLOPRINCIPALEFoB"/>
        <w:ind w:left="-284" w:right="-285" w:firstLine="142"/>
        <w:rPr>
          <w:bCs/>
          <w:sz w:val="38"/>
          <w:szCs w:val="14"/>
        </w:rPr>
      </w:pPr>
      <w:r w:rsidRPr="003E1DD8">
        <w:rPr>
          <w:bCs/>
          <w:sz w:val="38"/>
          <w:szCs w:val="14"/>
        </w:rPr>
        <w:t xml:space="preserve">FINCANTIERI </w:t>
      </w:r>
      <w:r w:rsidR="00356D2B" w:rsidRPr="00356D2B">
        <w:rPr>
          <w:bCs/>
          <w:sz w:val="38"/>
          <w:szCs w:val="14"/>
        </w:rPr>
        <w:t>METTE IN ACQUA IL PRIMO SISTEMA INTEGRATO DI DRONI SUBACQUEI</w:t>
      </w:r>
    </w:p>
    <w:p w14:paraId="3AE4CC52" w14:textId="77777777" w:rsidR="00307EC6" w:rsidRPr="009B362E" w:rsidRDefault="00307EC6" w:rsidP="00753998">
      <w:pPr>
        <w:pStyle w:val="TITOLOPRINCIPALEFoB"/>
        <w:ind w:left="-284" w:right="-285" w:firstLine="142"/>
        <w:rPr>
          <w:sz w:val="20"/>
          <w:szCs w:val="20"/>
        </w:rPr>
      </w:pPr>
    </w:p>
    <w:p w14:paraId="5457E1E1" w14:textId="218100DD" w:rsidR="00CB7921" w:rsidRDefault="007902A6" w:rsidP="00832801">
      <w:pPr>
        <w:pStyle w:val="Default"/>
        <w:jc w:val="both"/>
        <w:rPr>
          <w:rFonts w:ascii="Trade Gothic LT Std" w:hAnsi="Trade Gothic LT Std"/>
          <w:color w:val="1D3D71"/>
        </w:rPr>
      </w:pPr>
      <w:r w:rsidRPr="007902A6">
        <w:rPr>
          <w:rFonts w:ascii="Trade Gothic LT Std" w:hAnsi="Trade Gothic LT Std"/>
          <w:color w:val="1D3D71"/>
        </w:rPr>
        <w:t xml:space="preserve">Si è tenuto oggi, presso il Centro di Supporto e Sperimentazione Navale della Spezia (CSSN), il lancio del primo </w:t>
      </w:r>
      <w:r w:rsidRPr="007902A6">
        <w:rPr>
          <w:rFonts w:ascii="Trade Gothic LT Std" w:hAnsi="Trade Gothic LT Std"/>
          <w:b/>
          <w:bCs/>
          <w:color w:val="1D3D71"/>
        </w:rPr>
        <w:t>sistema di droni subacquei “DEEP”</w:t>
      </w:r>
      <w:r w:rsidRPr="007902A6">
        <w:rPr>
          <w:rFonts w:ascii="Trade Gothic LT Std" w:hAnsi="Trade Gothic LT Std"/>
          <w:color w:val="1D3D71"/>
        </w:rPr>
        <w:t xml:space="preserve"> di </w:t>
      </w:r>
      <w:r w:rsidRPr="007902A6">
        <w:rPr>
          <w:rFonts w:ascii="Trade Gothic LT Std" w:hAnsi="Trade Gothic LT Std"/>
          <w:b/>
          <w:bCs/>
          <w:color w:val="1D3D71"/>
        </w:rPr>
        <w:t>Fincantieri</w:t>
      </w:r>
      <w:r w:rsidRPr="007902A6">
        <w:rPr>
          <w:rFonts w:ascii="Trade Gothic LT Std" w:hAnsi="Trade Gothic LT Std"/>
          <w:color w:val="1D3D71"/>
        </w:rPr>
        <w:t>, in una missione di dimostrazione. L’evento segna una tappa fondamentale per Fincantieri nel campo della tecnologia subacquea, confermando il ruolo di leadership del Gruppo nel settore underwater e consolidando un percorso di crescita industriale chiaro e in fase avanzata di attuazione.</w:t>
      </w:r>
    </w:p>
    <w:p w14:paraId="27DAADA3" w14:textId="77777777" w:rsidR="00D96F89" w:rsidRDefault="00D96F89" w:rsidP="00832801">
      <w:pPr>
        <w:pStyle w:val="Default"/>
        <w:jc w:val="both"/>
        <w:rPr>
          <w:rFonts w:ascii="Trade Gothic LT Std" w:hAnsi="Trade Gothic LT Std"/>
          <w:color w:val="1D3D71"/>
        </w:rPr>
      </w:pPr>
    </w:p>
    <w:p w14:paraId="25D66F49" w14:textId="157FE9C7" w:rsidR="007B3563" w:rsidRDefault="007B3563" w:rsidP="00832801">
      <w:pPr>
        <w:pStyle w:val="Default"/>
        <w:jc w:val="both"/>
        <w:rPr>
          <w:rFonts w:ascii="Trade Gothic LT Std" w:hAnsi="Trade Gothic LT Std"/>
          <w:color w:val="1D3D71"/>
        </w:rPr>
      </w:pPr>
      <w:r w:rsidRPr="007B3563">
        <w:rPr>
          <w:rFonts w:ascii="Trade Gothic LT Std" w:hAnsi="Trade Gothic LT Std"/>
          <w:color w:val="1D3D71"/>
        </w:rPr>
        <w:t xml:space="preserve">Durante l’evento sono intervenuti il Sottosegretario di Stato </w:t>
      </w:r>
      <w:r w:rsidR="000A5C6E">
        <w:rPr>
          <w:rFonts w:ascii="Trade Gothic LT Std" w:hAnsi="Trade Gothic LT Std"/>
          <w:color w:val="1D3D71"/>
        </w:rPr>
        <w:t xml:space="preserve">per la </w:t>
      </w:r>
      <w:r w:rsidRPr="007B3563">
        <w:rPr>
          <w:rFonts w:ascii="Trade Gothic LT Std" w:hAnsi="Trade Gothic LT Std"/>
          <w:color w:val="1D3D71"/>
        </w:rPr>
        <w:t xml:space="preserve">Difesa, On. </w:t>
      </w:r>
      <w:r w:rsidRPr="00086828">
        <w:rPr>
          <w:rFonts w:ascii="Trade Gothic LT Std" w:hAnsi="Trade Gothic LT Std"/>
          <w:b/>
          <w:bCs/>
          <w:color w:val="1D3D71"/>
        </w:rPr>
        <w:t>Matteo Perego di Cremnago</w:t>
      </w:r>
      <w:r w:rsidR="008F19CE">
        <w:rPr>
          <w:rFonts w:ascii="Trade Gothic LT Std" w:hAnsi="Trade Gothic LT Std"/>
          <w:color w:val="1D3D71"/>
        </w:rPr>
        <w:t xml:space="preserve"> e</w:t>
      </w:r>
      <w:r w:rsidRPr="007B3563">
        <w:rPr>
          <w:rFonts w:ascii="Trade Gothic LT Std" w:hAnsi="Trade Gothic LT Std"/>
          <w:color w:val="1D3D71"/>
        </w:rPr>
        <w:t xml:space="preserve"> l’Amministratore Delegato e Direttore Generale di Fincantieri, </w:t>
      </w:r>
      <w:r w:rsidRPr="00086828">
        <w:rPr>
          <w:rFonts w:ascii="Trade Gothic LT Std" w:hAnsi="Trade Gothic LT Std"/>
          <w:b/>
          <w:bCs/>
          <w:color w:val="1D3D71"/>
        </w:rPr>
        <w:t>Pierroberto Folgiero</w:t>
      </w:r>
      <w:r w:rsidR="00DB7499">
        <w:rPr>
          <w:rFonts w:ascii="Trade Gothic LT Std" w:hAnsi="Trade Gothic LT Std"/>
          <w:b/>
          <w:bCs/>
          <w:color w:val="1D3D71"/>
        </w:rPr>
        <w:t>.</w:t>
      </w:r>
      <w:r w:rsidR="00DB7499">
        <w:rPr>
          <w:rFonts w:ascii="Trade Gothic LT Std" w:hAnsi="Trade Gothic LT Std"/>
          <w:color w:val="1D3D71"/>
        </w:rPr>
        <w:t xml:space="preserve"> </w:t>
      </w:r>
      <w:r w:rsidRPr="007B3563">
        <w:rPr>
          <w:rFonts w:ascii="Trade Gothic LT Std" w:hAnsi="Trade Gothic LT Std"/>
          <w:color w:val="1D3D71"/>
        </w:rPr>
        <w:t>Presenti</w:t>
      </w:r>
      <w:r w:rsidR="001E57ED">
        <w:rPr>
          <w:rFonts w:ascii="Trade Gothic LT Std" w:hAnsi="Trade Gothic LT Std"/>
          <w:color w:val="1D3D71"/>
        </w:rPr>
        <w:t xml:space="preserve"> </w:t>
      </w:r>
      <w:r w:rsidR="008F19CE" w:rsidRPr="007B3563">
        <w:rPr>
          <w:rFonts w:ascii="Trade Gothic LT Std" w:hAnsi="Trade Gothic LT Std"/>
          <w:color w:val="1D3D71"/>
        </w:rPr>
        <w:t>il Sindaco d</w:t>
      </w:r>
      <w:r w:rsidR="008F19CE">
        <w:rPr>
          <w:rFonts w:ascii="Trade Gothic LT Std" w:hAnsi="Trade Gothic LT Std"/>
          <w:color w:val="1D3D71"/>
        </w:rPr>
        <w:t>ella Città dell</w:t>
      </w:r>
      <w:r w:rsidR="008F19CE" w:rsidRPr="007B3563">
        <w:rPr>
          <w:rFonts w:ascii="Trade Gothic LT Std" w:hAnsi="Trade Gothic LT Std"/>
          <w:color w:val="1D3D71"/>
        </w:rPr>
        <w:t xml:space="preserve">a Spezia, </w:t>
      </w:r>
      <w:r w:rsidR="008F19CE" w:rsidRPr="00086828">
        <w:rPr>
          <w:rFonts w:ascii="Trade Gothic LT Std" w:hAnsi="Trade Gothic LT Std"/>
          <w:b/>
          <w:bCs/>
          <w:color w:val="1D3D71"/>
        </w:rPr>
        <w:t>Pierluigi Peracchini</w:t>
      </w:r>
      <w:r w:rsidR="008F19CE" w:rsidRPr="007B3563">
        <w:rPr>
          <w:rFonts w:ascii="Trade Gothic LT Std" w:hAnsi="Trade Gothic LT Std"/>
          <w:color w:val="1D3D71"/>
        </w:rPr>
        <w:t>, in rappresentanza della Regione Liguria, il Capo di Gabinetto de</w:t>
      </w:r>
      <w:r w:rsidR="008F19CE">
        <w:rPr>
          <w:rFonts w:ascii="Trade Gothic LT Std" w:hAnsi="Trade Gothic LT Std"/>
          <w:color w:val="1D3D71"/>
        </w:rPr>
        <w:t xml:space="preserve">lla </w:t>
      </w:r>
      <w:r w:rsidR="008F19CE" w:rsidRPr="007B3563">
        <w:rPr>
          <w:rFonts w:ascii="Trade Gothic LT Std" w:hAnsi="Trade Gothic LT Std"/>
          <w:color w:val="1D3D71"/>
        </w:rPr>
        <w:t xml:space="preserve">Regione Liguria, </w:t>
      </w:r>
      <w:r w:rsidR="008F19CE" w:rsidRPr="00086828">
        <w:rPr>
          <w:rFonts w:ascii="Trade Gothic LT Std" w:hAnsi="Trade Gothic LT Std"/>
          <w:b/>
          <w:bCs/>
          <w:color w:val="1D3D71"/>
        </w:rPr>
        <w:t>Massimiliano Nannini</w:t>
      </w:r>
      <w:r w:rsidR="008F19CE" w:rsidRPr="007B3563">
        <w:rPr>
          <w:rFonts w:ascii="Trade Gothic LT Std" w:hAnsi="Trade Gothic LT Std"/>
          <w:color w:val="1D3D71"/>
        </w:rPr>
        <w:t xml:space="preserve">, </w:t>
      </w:r>
      <w:r w:rsidR="00B425DA" w:rsidRPr="007B3563">
        <w:rPr>
          <w:rFonts w:ascii="Trade Gothic LT Std" w:hAnsi="Trade Gothic LT Std"/>
          <w:color w:val="1D3D71"/>
        </w:rPr>
        <w:t xml:space="preserve">il Capo di Stato Maggiore della Marina Militare, Ammiraglio di Squadra </w:t>
      </w:r>
      <w:r w:rsidR="00B425DA" w:rsidRPr="001407FA">
        <w:rPr>
          <w:rFonts w:ascii="Trade Gothic LT Std" w:hAnsi="Trade Gothic LT Std"/>
          <w:b/>
          <w:bCs/>
          <w:color w:val="1D3D71"/>
        </w:rPr>
        <w:t>Enrico Credendino</w:t>
      </w:r>
      <w:r w:rsidR="00CE057E">
        <w:rPr>
          <w:rFonts w:ascii="Trade Gothic LT Std" w:hAnsi="Trade Gothic LT Std"/>
          <w:color w:val="1D3D71"/>
        </w:rPr>
        <w:t xml:space="preserve">, </w:t>
      </w:r>
      <w:r w:rsidR="003234A3">
        <w:rPr>
          <w:rFonts w:ascii="Trade Gothic LT Std" w:hAnsi="Trade Gothic LT Std"/>
          <w:color w:val="1D3D71"/>
        </w:rPr>
        <w:t>il P</w:t>
      </w:r>
      <w:r w:rsidR="003234A3" w:rsidRPr="001E57ED">
        <w:rPr>
          <w:rFonts w:ascii="Trade Gothic LT Std" w:hAnsi="Trade Gothic LT Std"/>
          <w:color w:val="1D3D71"/>
        </w:rPr>
        <w:t>residente della Fondazione del Polo Nazionale della Dimensione Subacquea,</w:t>
      </w:r>
      <w:r w:rsidR="003234A3">
        <w:rPr>
          <w:rFonts w:ascii="Trade Gothic LT Std" w:hAnsi="Trade Gothic LT Std"/>
          <w:color w:val="1D3D71"/>
        </w:rPr>
        <w:t xml:space="preserve"> Sen. </w:t>
      </w:r>
      <w:r w:rsidR="003234A3" w:rsidRPr="001407FA">
        <w:rPr>
          <w:rFonts w:ascii="Trade Gothic LT Std" w:hAnsi="Trade Gothic LT Std"/>
          <w:b/>
          <w:bCs/>
          <w:color w:val="1D3D71"/>
        </w:rPr>
        <w:t>Roberta Pinotti</w:t>
      </w:r>
      <w:r w:rsidR="00D63C1C">
        <w:rPr>
          <w:rFonts w:ascii="Trade Gothic LT Std" w:hAnsi="Trade Gothic LT Std"/>
          <w:color w:val="1D3D71"/>
        </w:rPr>
        <w:t>.</w:t>
      </w:r>
      <w:r w:rsidR="003234A3">
        <w:rPr>
          <w:rFonts w:ascii="Trade Gothic LT Std" w:hAnsi="Trade Gothic LT Std"/>
          <w:color w:val="1D3D71"/>
        </w:rPr>
        <w:t xml:space="preserve"> </w:t>
      </w:r>
      <w:r w:rsidR="00D63C1C">
        <w:rPr>
          <w:rFonts w:ascii="Trade Gothic LT Std" w:hAnsi="Trade Gothic LT Std"/>
          <w:color w:val="1D3D71"/>
        </w:rPr>
        <w:t>P</w:t>
      </w:r>
      <w:r w:rsidRPr="007B3563">
        <w:rPr>
          <w:rFonts w:ascii="Trade Gothic LT Std" w:hAnsi="Trade Gothic LT Std"/>
          <w:color w:val="1D3D71"/>
        </w:rPr>
        <w:t>er Fincantieri,</w:t>
      </w:r>
      <w:r w:rsidR="00D63C1C">
        <w:rPr>
          <w:rFonts w:ascii="Trade Gothic LT Std" w:hAnsi="Trade Gothic LT Std"/>
          <w:color w:val="1D3D71"/>
        </w:rPr>
        <w:t xml:space="preserve"> presenti</w:t>
      </w:r>
      <w:r w:rsidRPr="007B3563">
        <w:rPr>
          <w:rFonts w:ascii="Trade Gothic LT Std" w:hAnsi="Trade Gothic LT Std"/>
          <w:color w:val="1D3D71"/>
        </w:rPr>
        <w:t xml:space="preserve"> il Presidente, </w:t>
      </w:r>
      <w:r w:rsidRPr="004F0A33">
        <w:rPr>
          <w:rFonts w:ascii="Trade Gothic LT Std" w:hAnsi="Trade Gothic LT Std"/>
          <w:b/>
          <w:bCs/>
          <w:color w:val="1D3D71"/>
        </w:rPr>
        <w:t>Biagio Mazzotta</w:t>
      </w:r>
      <w:r w:rsidR="000F5191">
        <w:rPr>
          <w:rFonts w:ascii="Trade Gothic LT Std" w:hAnsi="Trade Gothic LT Std"/>
          <w:color w:val="1D3D71"/>
        </w:rPr>
        <w:t xml:space="preserve">, </w:t>
      </w:r>
      <w:r w:rsidRPr="007B3563">
        <w:rPr>
          <w:rFonts w:ascii="Trade Gothic LT Std" w:hAnsi="Trade Gothic LT Std"/>
          <w:color w:val="1D3D71"/>
        </w:rPr>
        <w:t xml:space="preserve">il Direttore della Divisione Navi Militari, </w:t>
      </w:r>
      <w:r w:rsidRPr="004F0A33">
        <w:rPr>
          <w:rFonts w:ascii="Trade Gothic LT Std" w:hAnsi="Trade Gothic LT Std"/>
          <w:b/>
          <w:bCs/>
          <w:color w:val="1D3D71"/>
        </w:rPr>
        <w:t>Eugenio Santagata</w:t>
      </w:r>
      <w:r w:rsidR="000F5191">
        <w:rPr>
          <w:rFonts w:ascii="Trade Gothic LT Std" w:hAnsi="Trade Gothic LT Std"/>
          <w:color w:val="1D3D71"/>
        </w:rPr>
        <w:t xml:space="preserve"> e</w:t>
      </w:r>
      <w:r w:rsidR="000F5191" w:rsidRPr="000F5191">
        <w:rPr>
          <w:rFonts w:ascii="Trade Gothic LT Std" w:hAnsi="Trade Gothic LT Std"/>
          <w:color w:val="1D3D71"/>
        </w:rPr>
        <w:t xml:space="preserve"> </w:t>
      </w:r>
      <w:r w:rsidR="000F5191" w:rsidRPr="007B3563">
        <w:rPr>
          <w:rFonts w:ascii="Trade Gothic LT Std" w:hAnsi="Trade Gothic LT Std"/>
          <w:color w:val="1D3D71"/>
        </w:rPr>
        <w:t>l’Executive Vice</w:t>
      </w:r>
      <w:r w:rsidR="000F5191">
        <w:rPr>
          <w:rFonts w:ascii="Trade Gothic LT Std" w:hAnsi="Trade Gothic LT Std"/>
          <w:color w:val="1D3D71"/>
        </w:rPr>
        <w:t xml:space="preserve"> </w:t>
      </w:r>
      <w:r w:rsidR="000F5191" w:rsidRPr="007B3563">
        <w:rPr>
          <w:rFonts w:ascii="Trade Gothic LT Std" w:hAnsi="Trade Gothic LT Std"/>
          <w:color w:val="1D3D71"/>
        </w:rPr>
        <w:t xml:space="preserve">President Underwater, </w:t>
      </w:r>
      <w:r w:rsidR="000F5191" w:rsidRPr="00DB7499">
        <w:rPr>
          <w:rFonts w:ascii="Trade Gothic LT Std" w:hAnsi="Trade Gothic LT Std"/>
          <w:b/>
          <w:bCs/>
          <w:color w:val="1D3D71"/>
        </w:rPr>
        <w:t>Gabriele Maria Cafaro</w:t>
      </w:r>
      <w:r w:rsidR="000F5191">
        <w:rPr>
          <w:rFonts w:ascii="Trade Gothic LT Std" w:hAnsi="Trade Gothic LT Std"/>
          <w:b/>
          <w:bCs/>
          <w:color w:val="1D3D71"/>
        </w:rPr>
        <w:t>.</w:t>
      </w:r>
    </w:p>
    <w:p w14:paraId="02065F62" w14:textId="77777777" w:rsidR="00E311EE" w:rsidRDefault="00E311EE" w:rsidP="00832801">
      <w:pPr>
        <w:pStyle w:val="Default"/>
        <w:jc w:val="both"/>
        <w:rPr>
          <w:rFonts w:ascii="Trade Gothic LT Std" w:hAnsi="Trade Gothic LT Std"/>
          <w:color w:val="1D3D71"/>
        </w:rPr>
      </w:pPr>
    </w:p>
    <w:p w14:paraId="5F6821A6" w14:textId="6CC42065" w:rsidR="00CB7921" w:rsidRDefault="00921C42" w:rsidP="00307EC6">
      <w:pPr>
        <w:pStyle w:val="Default"/>
        <w:jc w:val="both"/>
        <w:rPr>
          <w:rFonts w:ascii="Trade Gothic LT Std" w:hAnsi="Trade Gothic LT Std"/>
          <w:color w:val="1D3D71"/>
        </w:rPr>
      </w:pPr>
      <w:r w:rsidRPr="00921C42">
        <w:rPr>
          <w:rFonts w:ascii="Trade Gothic LT Std" w:hAnsi="Trade Gothic LT Std"/>
          <w:color w:val="1D3D71"/>
        </w:rPr>
        <w:t>Il sistema DEEP rappresenta una soluzione integrata all’avanguardia per la protezione, lo sviluppo e il mantenimento di infrastrutture critiche subacquee e delle aree portuali, svolgendo inoltre attività di monitoraggio e tutela ambientale. Il sistema è progettato fin dall’origine con un carattere duale, capace cioè di rispondere sia a esigenze civili sia a impieghi di difesa e sicurezza. Tale versatilità consente a DEEP di operare in contesti eterogenei, offrendo soluzioni ad alto valore aggiunto per la protezione ambientale e delle infrastrutture, così come per il supporto operativ</w:t>
      </w:r>
      <w:r w:rsidR="00034BBF">
        <w:rPr>
          <w:rFonts w:ascii="Trade Gothic LT Std" w:hAnsi="Trade Gothic LT Std"/>
          <w:color w:val="1D3D71"/>
        </w:rPr>
        <w:t>o</w:t>
      </w:r>
      <w:r w:rsidRPr="00921C42">
        <w:rPr>
          <w:rFonts w:ascii="Trade Gothic LT Std" w:hAnsi="Trade Gothic LT Std"/>
          <w:color w:val="1D3D71"/>
        </w:rPr>
        <w:t>.</w:t>
      </w:r>
    </w:p>
    <w:p w14:paraId="23D7D8CF" w14:textId="77777777" w:rsidR="007049DA" w:rsidRDefault="007049DA" w:rsidP="00307EC6">
      <w:pPr>
        <w:pStyle w:val="Default"/>
        <w:jc w:val="both"/>
        <w:rPr>
          <w:rFonts w:ascii="Trade Gothic LT Std" w:hAnsi="Trade Gothic LT Std"/>
          <w:color w:val="1D3D71"/>
        </w:rPr>
      </w:pPr>
    </w:p>
    <w:p w14:paraId="3619BC63" w14:textId="3ABAE156" w:rsidR="00CF75AE" w:rsidRPr="00CF75AE" w:rsidRDefault="00CF75AE" w:rsidP="00CF75AE">
      <w:pPr>
        <w:pStyle w:val="Default"/>
        <w:jc w:val="both"/>
        <w:rPr>
          <w:rFonts w:ascii="Trade Gothic LT Std" w:hAnsi="Trade Gothic LT Std"/>
          <w:color w:val="1D3D71"/>
        </w:rPr>
      </w:pPr>
      <w:r w:rsidRPr="00CF75AE">
        <w:rPr>
          <w:rFonts w:ascii="Trade Gothic LT Std" w:hAnsi="Trade Gothic LT Std"/>
          <w:color w:val="1D3D71"/>
        </w:rPr>
        <w:t xml:space="preserve">La piattaforma si compone di una rete di sensori subacquei per l’allarme preventivo (Early Warning System), un Centro di Comando e Controllo per la gestione operativa in tempo reale, una squadra di veicoli subacquei autonomi (AUV) in grado di condurre missioni a diversi livelli di autonomia, cooperazione e coordinamento e un sistema </w:t>
      </w:r>
      <w:r w:rsidRPr="00144CC9">
        <w:rPr>
          <w:rFonts w:ascii="Trade Gothic LT Std" w:hAnsi="Trade Gothic LT Std"/>
          <w:i/>
          <w:iCs/>
          <w:color w:val="1D3D71"/>
        </w:rPr>
        <w:t>AI</w:t>
      </w:r>
      <w:r w:rsidR="00144CC9" w:rsidRPr="00144CC9">
        <w:rPr>
          <w:rFonts w:ascii="Trade Gothic LT Std" w:hAnsi="Trade Gothic LT Std"/>
          <w:i/>
          <w:iCs/>
          <w:color w:val="1D3D71"/>
        </w:rPr>
        <w:t>-</w:t>
      </w:r>
      <w:r w:rsidRPr="00144CC9">
        <w:rPr>
          <w:rFonts w:ascii="Trade Gothic LT Std" w:hAnsi="Trade Gothic LT Std"/>
          <w:i/>
          <w:iCs/>
          <w:color w:val="1D3D71"/>
        </w:rPr>
        <w:t>based</w:t>
      </w:r>
      <w:r w:rsidRPr="00CF75AE">
        <w:rPr>
          <w:rFonts w:ascii="Trade Gothic LT Std" w:hAnsi="Trade Gothic LT Std"/>
          <w:color w:val="1D3D71"/>
        </w:rPr>
        <w:t xml:space="preserve"> dedicato all’analisi e all’elaborazione dei dati.</w:t>
      </w:r>
    </w:p>
    <w:p w14:paraId="145CF98F" w14:textId="77777777" w:rsidR="00CF75AE" w:rsidRPr="00CF75AE" w:rsidRDefault="00CF75AE" w:rsidP="00CF75AE">
      <w:pPr>
        <w:pStyle w:val="Default"/>
        <w:jc w:val="both"/>
        <w:rPr>
          <w:rFonts w:ascii="Trade Gothic LT Std" w:hAnsi="Trade Gothic LT Std"/>
          <w:color w:val="1D3D71"/>
        </w:rPr>
      </w:pPr>
    </w:p>
    <w:p w14:paraId="64EBA714" w14:textId="418FAC66" w:rsidR="00CF75AE" w:rsidRDefault="00CF75AE" w:rsidP="00CF75AE">
      <w:pPr>
        <w:pStyle w:val="Default"/>
        <w:jc w:val="both"/>
        <w:rPr>
          <w:rFonts w:ascii="Trade Gothic LT Std" w:hAnsi="Trade Gothic LT Std"/>
          <w:color w:val="1D3D71"/>
        </w:rPr>
      </w:pPr>
      <w:r w:rsidRPr="00CF75AE">
        <w:rPr>
          <w:rFonts w:ascii="Trade Gothic LT Std" w:hAnsi="Trade Gothic LT Std"/>
          <w:color w:val="1D3D71"/>
        </w:rPr>
        <w:t xml:space="preserve">Il lancio di DEEP si inserisce nel percorso di consolidamento della strategia underwater di Fincantieri, dove il Gruppo si distingue per la capacità di offrire soluzioni integrate ad alto valore aggiunto, grazie a una filiera industriale unica e a competenze trasversali riunite all’interno del Polo Tecnologico della Subacquea, che coordina tutte le attività legate ai sistemi civili, militari e dual use attraverso una regia unica. </w:t>
      </w:r>
      <w:r w:rsidR="00126D9D">
        <w:rPr>
          <w:rFonts w:ascii="Trade Gothic LT Std" w:hAnsi="Trade Gothic LT Std"/>
          <w:color w:val="1D3D71"/>
        </w:rPr>
        <w:t xml:space="preserve">Grazie a </w:t>
      </w:r>
      <w:r w:rsidRPr="00CF75AE">
        <w:rPr>
          <w:rFonts w:ascii="Trade Gothic LT Std" w:hAnsi="Trade Gothic LT Std"/>
          <w:color w:val="1D3D71"/>
        </w:rPr>
        <w:t>questo approccio integrato, Fincantieri è in grado di garantire il presidio dei mercati e rispondere alle esigenze più complesse di clienti privati e istituzionali, consolidando il proprio ruolo pionieristico e di riferimento tecnologico e industriale nel panorama internazionale della subacquea.</w:t>
      </w:r>
    </w:p>
    <w:p w14:paraId="1426FD41" w14:textId="77777777" w:rsidR="003D306B" w:rsidRDefault="003D306B" w:rsidP="00CF75AE">
      <w:pPr>
        <w:pStyle w:val="Default"/>
        <w:jc w:val="both"/>
        <w:rPr>
          <w:rFonts w:ascii="Trade Gothic LT Std" w:hAnsi="Trade Gothic LT Std"/>
          <w:color w:val="1D3D71"/>
        </w:rPr>
      </w:pPr>
    </w:p>
    <w:p w14:paraId="452CB26B" w14:textId="77777777" w:rsidR="003D306B" w:rsidRPr="003D306B" w:rsidRDefault="003D306B" w:rsidP="003D306B">
      <w:pPr>
        <w:pStyle w:val="Default"/>
        <w:jc w:val="both"/>
        <w:rPr>
          <w:rFonts w:ascii="Trade Gothic LT Std" w:hAnsi="Trade Gothic LT Std"/>
          <w:color w:val="1D3D71"/>
        </w:rPr>
      </w:pPr>
      <w:r w:rsidRPr="003D306B">
        <w:rPr>
          <w:rFonts w:ascii="Trade Gothic LT Std" w:hAnsi="Trade Gothic LT Std"/>
          <w:color w:val="1D3D71"/>
        </w:rPr>
        <w:t xml:space="preserve">Quello della subacquea rappresenta oggi un dominio chiave per la sicurezza, l’energia, l’osservazione ambientale e le comunicazioni sottomarine, con un mercato globale di riferimento stimato in circa 50 miliardi di euro all’anno e una componente accessibile per Fincantieri pari a circa 22 miliardi annui. Fincantieri si propone come attore guida nello </w:t>
      </w:r>
      <w:r w:rsidRPr="003D306B">
        <w:rPr>
          <w:rFonts w:ascii="Trade Gothic LT Std" w:hAnsi="Trade Gothic LT Std"/>
          <w:color w:val="1D3D71"/>
        </w:rPr>
        <w:lastRenderedPageBreak/>
        <w:t>sviluppo di questa nuova infrastruttura strategica, facendo leva sulla propria capacità di integrare competenze complesse e asset industriali ad alta intensità tecnologica.</w:t>
      </w:r>
    </w:p>
    <w:p w14:paraId="29EA4C5C" w14:textId="77777777" w:rsidR="00F94B34" w:rsidRDefault="00F94B34" w:rsidP="003D306B">
      <w:pPr>
        <w:pStyle w:val="Default"/>
        <w:jc w:val="both"/>
        <w:rPr>
          <w:rFonts w:ascii="Trade Gothic LT Std" w:hAnsi="Trade Gothic LT Std"/>
          <w:i/>
          <w:iCs/>
          <w:color w:val="1D3D71"/>
        </w:rPr>
      </w:pPr>
    </w:p>
    <w:p w14:paraId="7F49DC09" w14:textId="4DA08066" w:rsidR="00F94B34" w:rsidRDefault="003B658F" w:rsidP="003B658F">
      <w:pPr>
        <w:pStyle w:val="Default"/>
        <w:jc w:val="both"/>
        <w:rPr>
          <w:rFonts w:ascii="Trade Gothic LT Std" w:hAnsi="Trade Gothic LT Std"/>
          <w:i/>
          <w:iCs/>
          <w:color w:val="1D3D71"/>
        </w:rPr>
      </w:pPr>
      <w:r w:rsidRPr="003B658F">
        <w:rPr>
          <w:rFonts w:ascii="Trade Gothic LT Std" w:hAnsi="Trade Gothic LT Std"/>
          <w:b/>
          <w:bCs/>
          <w:color w:val="1D3D71"/>
        </w:rPr>
        <w:t>Pierroberto Folgiero, Amministratore Delegato e Direttore Generale di Fincantieri, ha dichiarato</w:t>
      </w:r>
      <w:r w:rsidRPr="003B658F">
        <w:rPr>
          <w:rFonts w:ascii="Trade Gothic LT Std" w:hAnsi="Trade Gothic LT Std"/>
          <w:i/>
          <w:iCs/>
          <w:color w:val="1D3D71"/>
        </w:rPr>
        <w:t>: “Il lancio di DEEP è la dimostrazione concreta della nostra capacità di spingere sempre più in profondità i confini dell’innovazione.</w:t>
      </w:r>
      <w:r>
        <w:rPr>
          <w:rFonts w:ascii="Trade Gothic LT Std" w:hAnsi="Trade Gothic LT Std"/>
          <w:i/>
          <w:iCs/>
          <w:color w:val="1D3D71"/>
        </w:rPr>
        <w:t xml:space="preserve"> </w:t>
      </w:r>
      <w:r w:rsidRPr="003B658F">
        <w:rPr>
          <w:rFonts w:ascii="Trade Gothic LT Std" w:hAnsi="Trade Gothic LT Std"/>
          <w:i/>
          <w:iCs/>
          <w:color w:val="1D3D71"/>
        </w:rPr>
        <w:t xml:space="preserve">Abbiamo oggi validato un sistema integrato di droni subacquei unmanned che rappresenta una soluzione innovativa e concreta al tema della protezione delle infrastrutture critiche utilizzando le migliori tecnologie disponibili. Questo risultato è frutto del </w:t>
      </w:r>
      <w:r w:rsidR="00B65E3E">
        <w:rPr>
          <w:rFonts w:ascii="Trade Gothic LT Std" w:hAnsi="Trade Gothic LT Std"/>
          <w:i/>
          <w:iCs/>
          <w:color w:val="1D3D71"/>
        </w:rPr>
        <w:t xml:space="preserve">lavoro </w:t>
      </w:r>
      <w:r w:rsidRPr="003B658F">
        <w:rPr>
          <w:rFonts w:ascii="Trade Gothic LT Std" w:hAnsi="Trade Gothic LT Std"/>
          <w:i/>
          <w:iCs/>
          <w:color w:val="1D3D71"/>
        </w:rPr>
        <w:t xml:space="preserve">di una filiera industriale d’eccellenza che ci consente di anticipare le esigenze del mercato e posizionarci per il futuro. Siamo orgogliosi di guidare </w:t>
      </w:r>
      <w:r w:rsidR="00B0159E">
        <w:rPr>
          <w:rFonts w:ascii="Trade Gothic LT Std" w:hAnsi="Trade Gothic LT Std"/>
          <w:i/>
          <w:iCs/>
          <w:color w:val="1D3D71"/>
        </w:rPr>
        <w:t xml:space="preserve">tale </w:t>
      </w:r>
      <w:r w:rsidRPr="003B658F">
        <w:rPr>
          <w:rFonts w:ascii="Trade Gothic LT Std" w:hAnsi="Trade Gothic LT Std"/>
          <w:i/>
          <w:iCs/>
          <w:color w:val="1D3D71"/>
        </w:rPr>
        <w:t>trasformazione che contribuisce fattivamente al tema della sicurezza, della crescita, della competitività e della autonomia tecnologica del sistema Paese, oltre a proiettarci nella leadership globale nell</w:t>
      </w:r>
      <w:r w:rsidR="002E025D">
        <w:rPr>
          <w:rFonts w:ascii="Trade Gothic LT Std" w:hAnsi="Trade Gothic LT Std"/>
          <w:i/>
          <w:iCs/>
          <w:color w:val="1D3D71"/>
        </w:rPr>
        <w:t>’</w:t>
      </w:r>
      <w:r w:rsidRPr="003B658F">
        <w:rPr>
          <w:rFonts w:ascii="Trade Gothic LT Std" w:hAnsi="Trade Gothic LT Std"/>
          <w:i/>
          <w:iCs/>
          <w:color w:val="1D3D71"/>
        </w:rPr>
        <w:t>underwater economy.”</w:t>
      </w:r>
    </w:p>
    <w:p w14:paraId="74674045" w14:textId="77777777" w:rsidR="003B658F" w:rsidRPr="003D306B" w:rsidRDefault="003B658F" w:rsidP="003B658F">
      <w:pPr>
        <w:pStyle w:val="Default"/>
        <w:jc w:val="both"/>
        <w:rPr>
          <w:rFonts w:ascii="Trade Gothic LT Std" w:hAnsi="Trade Gothic LT Std"/>
          <w:i/>
          <w:iCs/>
          <w:color w:val="1D3D71"/>
        </w:rPr>
      </w:pPr>
    </w:p>
    <w:p w14:paraId="13B8DC37" w14:textId="5B8080A7" w:rsidR="00141960" w:rsidRPr="00141960" w:rsidRDefault="00891C50" w:rsidP="00141960">
      <w:pPr>
        <w:pStyle w:val="Default"/>
        <w:jc w:val="center"/>
        <w:rPr>
          <w:rFonts w:ascii="Trade Gothic LT Std" w:hAnsi="Trade Gothic LT Std"/>
          <w:color w:val="1D3D71"/>
          <w:lang w:eastAsia="en-US"/>
        </w:rPr>
      </w:pPr>
      <w:r>
        <w:rPr>
          <w:rFonts w:ascii="Trade Gothic LT Std" w:hAnsi="Trade Gothic LT Std"/>
          <w:color w:val="1D3D71"/>
          <w:lang w:eastAsia="en-US"/>
        </w:rPr>
        <w:t>***</w:t>
      </w:r>
    </w:p>
    <w:p w14:paraId="4ABA440C" w14:textId="77777777" w:rsidR="000B2070" w:rsidRDefault="000B2070" w:rsidP="000B2070">
      <w:pPr>
        <w:pStyle w:val="Testo"/>
        <w:spacing w:after="60"/>
        <w:jc w:val="both"/>
        <w:rPr>
          <w:i/>
          <w:iCs/>
          <w:color w:val="002060"/>
          <w:szCs w:val="20"/>
        </w:rPr>
      </w:pPr>
      <w:r>
        <w:rPr>
          <w:i/>
          <w:color w:val="002060"/>
        </w:rPr>
        <w:t>Fincantieri è uno dei principali complessi cantieristici al mondo, l’unico attivo in tutti i settori della navalmeccanica ad alta tecnologia. È leader nella realizzazione e trasformazione di unità da crociera, militari e offshore nei comparti oil &amp; gas ed eolico, oltre che nella produzione di sistemi e componenti, nell’offerta di servizi post vendita e nelle soluzioni di arredamento navale. Grazie alle capacità sviluppate nella gestione di progetti complessi il Gruppo vanta referenze di eccellenza nelle infrastrutture, ed è operatore di riferimento nel digitale e nella cybersecurity, nell’elettronica e sistemistica avanzata.</w:t>
      </w:r>
      <w:r>
        <w:rPr>
          <w:i/>
          <w:iCs/>
          <w:color w:val="002060"/>
          <w:szCs w:val="20"/>
        </w:rPr>
        <w:t xml:space="preserve"> </w:t>
      </w:r>
      <w:r>
        <w:rPr>
          <w:i/>
          <w:color w:val="002060"/>
        </w:rPr>
        <w:t>Con oltre 230 anni di storia e più di 7.000 navi costruite, Fincantieri mantiene il proprio know-how e i centri direzionali in Italia, dove impiega oltre 11.000 dipendenti e attiva circa 90.000 posti di lavoro, che raddoppiano su scala mondiale in virtù di una rete produttiva di 18 stabilimenti in tutto il mondo e oltre 22.000 lavoratori diretti.</w:t>
      </w:r>
    </w:p>
    <w:p w14:paraId="66D14AB0" w14:textId="77777777" w:rsidR="000B2070" w:rsidRPr="00633455" w:rsidRDefault="000B2070" w:rsidP="000B2070">
      <w:pPr>
        <w:pStyle w:val="Testo"/>
        <w:spacing w:after="60"/>
        <w:jc w:val="both"/>
        <w:rPr>
          <w:i/>
          <w:iCs/>
          <w:color w:val="002060"/>
          <w:szCs w:val="20"/>
        </w:rPr>
      </w:pPr>
    </w:p>
    <w:p w14:paraId="062B22F9" w14:textId="77777777" w:rsidR="000B2070" w:rsidRPr="00941A57" w:rsidRDefault="000B2070" w:rsidP="000B2070">
      <w:pPr>
        <w:pStyle w:val="Testo"/>
        <w:spacing w:after="60"/>
        <w:jc w:val="both"/>
        <w:rPr>
          <w:color w:val="002060"/>
          <w:szCs w:val="20"/>
        </w:rPr>
      </w:pPr>
      <w:hyperlink r:id="rId8" w:history="1">
        <w:r>
          <w:rPr>
            <w:rStyle w:val="Hyperlink"/>
            <w:color w:val="002060"/>
          </w:rPr>
          <w:t>www.fincantieri.com</w:t>
        </w:r>
      </w:hyperlink>
    </w:p>
    <w:p w14:paraId="3FE9668D" w14:textId="77777777" w:rsidR="000B2070" w:rsidRPr="00941A57" w:rsidRDefault="000B2070" w:rsidP="000B2070">
      <w:pPr>
        <w:pStyle w:val="Testo"/>
        <w:jc w:val="both"/>
        <w:rPr>
          <w:b/>
          <w:bCs/>
          <w:color w:val="002060"/>
          <w:szCs w:val="20"/>
        </w:rPr>
      </w:pPr>
      <w:r>
        <w:rPr>
          <w:b/>
          <w:color w:val="002060"/>
        </w:rPr>
        <w:t>FINCANTIERI</w:t>
      </w:r>
    </w:p>
    <w:tbl>
      <w:tblPr>
        <w:tblW w:w="5262" w:type="dxa"/>
        <w:tblLayout w:type="fixed"/>
        <w:tblCellMar>
          <w:left w:w="0" w:type="dxa"/>
          <w:right w:w="0" w:type="dxa"/>
        </w:tblCellMar>
        <w:tblLook w:val="04A0" w:firstRow="1" w:lastRow="0" w:firstColumn="1" w:lastColumn="0" w:noHBand="0" w:noVBand="1"/>
      </w:tblPr>
      <w:tblGrid>
        <w:gridCol w:w="2405"/>
        <w:gridCol w:w="2857"/>
      </w:tblGrid>
      <w:tr w:rsidR="000B2070" w:rsidRPr="00941A57" w14:paraId="0263D097" w14:textId="77777777" w:rsidTr="003E02F8">
        <w:trPr>
          <w:trHeight w:val="246"/>
        </w:trPr>
        <w:tc>
          <w:tcPr>
            <w:tcW w:w="2405" w:type="dxa"/>
            <w:tcMar>
              <w:top w:w="0" w:type="dxa"/>
              <w:left w:w="28" w:type="dxa"/>
              <w:bottom w:w="0" w:type="dxa"/>
              <w:right w:w="28" w:type="dxa"/>
            </w:tcMar>
            <w:vAlign w:val="center"/>
          </w:tcPr>
          <w:p w14:paraId="780FFC9F" w14:textId="77777777" w:rsidR="000B2070" w:rsidRPr="00941A57" w:rsidRDefault="000B2070" w:rsidP="003E02F8">
            <w:pPr>
              <w:pStyle w:val="Testo"/>
              <w:pBdr>
                <w:top w:val="none" w:sz="0" w:space="0" w:color="auto"/>
                <w:left w:val="none" w:sz="0" w:space="0" w:color="auto"/>
                <w:bottom w:val="none" w:sz="0" w:space="0" w:color="auto"/>
                <w:right w:val="none" w:sz="0" w:space="0" w:color="auto"/>
                <w:between w:val="none" w:sz="0" w:space="0" w:color="auto"/>
                <w:bar w:val="none" w:sz="0" w:color="auto"/>
              </w:pBdr>
              <w:jc w:val="both"/>
              <w:rPr>
                <w:b/>
                <w:bCs/>
                <w:color w:val="002060"/>
                <w:szCs w:val="20"/>
              </w:rPr>
            </w:pPr>
            <w:r>
              <w:rPr>
                <w:b/>
                <w:color w:val="002060"/>
              </w:rPr>
              <w:t>Press Office</w:t>
            </w:r>
          </w:p>
        </w:tc>
        <w:tc>
          <w:tcPr>
            <w:tcW w:w="2857" w:type="dxa"/>
            <w:vAlign w:val="center"/>
          </w:tcPr>
          <w:p w14:paraId="185B51F5" w14:textId="77777777" w:rsidR="000B2070" w:rsidRPr="00941A57" w:rsidRDefault="000B2070" w:rsidP="003E02F8">
            <w:pPr>
              <w:pStyle w:val="Testo"/>
              <w:pBdr>
                <w:top w:val="none" w:sz="0" w:space="0" w:color="auto"/>
                <w:left w:val="none" w:sz="0" w:space="0" w:color="auto"/>
                <w:bottom w:val="none" w:sz="0" w:space="0" w:color="auto"/>
                <w:right w:val="none" w:sz="0" w:space="0" w:color="auto"/>
                <w:between w:val="none" w:sz="0" w:space="0" w:color="auto"/>
                <w:bar w:val="none" w:sz="0" w:color="auto"/>
              </w:pBdr>
              <w:jc w:val="both"/>
              <w:rPr>
                <w:b/>
                <w:bCs/>
                <w:color w:val="002060"/>
                <w:szCs w:val="20"/>
              </w:rPr>
            </w:pPr>
            <w:r>
              <w:rPr>
                <w:b/>
                <w:color w:val="002060"/>
              </w:rPr>
              <w:t>Investor Relations</w:t>
            </w:r>
          </w:p>
        </w:tc>
      </w:tr>
      <w:tr w:rsidR="000B2070" w:rsidRPr="00941A57" w14:paraId="116CCD5B" w14:textId="77777777" w:rsidTr="003E02F8">
        <w:trPr>
          <w:trHeight w:val="246"/>
        </w:trPr>
        <w:tc>
          <w:tcPr>
            <w:tcW w:w="2405" w:type="dxa"/>
            <w:tcMar>
              <w:top w:w="0" w:type="dxa"/>
              <w:left w:w="28" w:type="dxa"/>
              <w:bottom w:w="0" w:type="dxa"/>
              <w:right w:w="28" w:type="dxa"/>
            </w:tcMar>
            <w:vAlign w:val="center"/>
          </w:tcPr>
          <w:p w14:paraId="4A45E741" w14:textId="77777777" w:rsidR="000B2070" w:rsidRPr="00941A57" w:rsidRDefault="000B2070" w:rsidP="003E02F8">
            <w:pPr>
              <w:pStyle w:val="Testo"/>
              <w:pBdr>
                <w:top w:val="none" w:sz="0" w:space="0" w:color="auto"/>
                <w:left w:val="none" w:sz="0" w:space="0" w:color="auto"/>
                <w:bottom w:val="none" w:sz="0" w:space="0" w:color="auto"/>
                <w:right w:val="none" w:sz="0" w:space="0" w:color="auto"/>
                <w:between w:val="none" w:sz="0" w:space="0" w:color="auto"/>
                <w:bar w:val="none" w:sz="0" w:color="auto"/>
              </w:pBdr>
              <w:jc w:val="both"/>
              <w:rPr>
                <w:color w:val="002060"/>
                <w:szCs w:val="20"/>
              </w:rPr>
            </w:pPr>
            <w:r>
              <w:rPr>
                <w:color w:val="002060"/>
              </w:rPr>
              <w:t>Tel. +39 040 3192111</w:t>
            </w:r>
          </w:p>
        </w:tc>
        <w:tc>
          <w:tcPr>
            <w:tcW w:w="2857" w:type="dxa"/>
          </w:tcPr>
          <w:p w14:paraId="76C57D82" w14:textId="77777777" w:rsidR="000B2070" w:rsidRPr="00941A57" w:rsidRDefault="000B2070" w:rsidP="003E02F8">
            <w:pPr>
              <w:pStyle w:val="Testo"/>
              <w:pBdr>
                <w:top w:val="none" w:sz="0" w:space="0" w:color="auto"/>
                <w:left w:val="none" w:sz="0" w:space="0" w:color="auto"/>
                <w:bottom w:val="none" w:sz="0" w:space="0" w:color="auto"/>
                <w:right w:val="none" w:sz="0" w:space="0" w:color="auto"/>
                <w:between w:val="none" w:sz="0" w:space="0" w:color="auto"/>
                <w:bar w:val="none" w:sz="0" w:color="auto"/>
              </w:pBdr>
              <w:jc w:val="both"/>
              <w:rPr>
                <w:color w:val="002060"/>
                <w:szCs w:val="20"/>
              </w:rPr>
            </w:pPr>
            <w:r>
              <w:rPr>
                <w:color w:val="002060"/>
              </w:rPr>
              <w:t>Tel. +39 040 3192111</w:t>
            </w:r>
          </w:p>
        </w:tc>
      </w:tr>
      <w:tr w:rsidR="000B2070" w:rsidRPr="00941A57" w14:paraId="24E38D30" w14:textId="77777777" w:rsidTr="003E02F8">
        <w:trPr>
          <w:trHeight w:val="246"/>
        </w:trPr>
        <w:tc>
          <w:tcPr>
            <w:tcW w:w="2405" w:type="dxa"/>
            <w:tcMar>
              <w:top w:w="0" w:type="dxa"/>
              <w:left w:w="28" w:type="dxa"/>
              <w:bottom w:w="0" w:type="dxa"/>
              <w:right w:w="28" w:type="dxa"/>
            </w:tcMar>
            <w:vAlign w:val="center"/>
            <w:hideMark/>
          </w:tcPr>
          <w:p w14:paraId="160EC98B" w14:textId="77777777" w:rsidR="000B2070" w:rsidRPr="00941A57" w:rsidRDefault="000B2070" w:rsidP="003E02F8">
            <w:pPr>
              <w:pStyle w:val="Testo"/>
              <w:pBdr>
                <w:top w:val="none" w:sz="0" w:space="0" w:color="auto"/>
                <w:left w:val="none" w:sz="0" w:space="0" w:color="auto"/>
                <w:bottom w:val="none" w:sz="0" w:space="0" w:color="auto"/>
                <w:right w:val="none" w:sz="0" w:space="0" w:color="auto"/>
                <w:between w:val="none" w:sz="0" w:space="0" w:color="auto"/>
                <w:bar w:val="none" w:sz="0" w:color="auto"/>
              </w:pBdr>
              <w:jc w:val="both"/>
              <w:rPr>
                <w:color w:val="002060"/>
                <w:szCs w:val="20"/>
              </w:rPr>
            </w:pPr>
            <w:hyperlink r:id="rId9" w:history="1">
              <w:r>
                <w:rPr>
                  <w:rStyle w:val="Hyperlink"/>
                  <w:color w:val="002060"/>
                </w:rPr>
                <w:t>press.office@fincantieri.it</w:t>
              </w:r>
            </w:hyperlink>
          </w:p>
        </w:tc>
        <w:tc>
          <w:tcPr>
            <w:tcW w:w="2857" w:type="dxa"/>
          </w:tcPr>
          <w:p w14:paraId="505696C9" w14:textId="77777777" w:rsidR="000B2070" w:rsidRPr="00941A57" w:rsidRDefault="000B2070" w:rsidP="003E02F8">
            <w:pPr>
              <w:pStyle w:val="Testo"/>
              <w:pBdr>
                <w:top w:val="none" w:sz="0" w:space="0" w:color="auto"/>
                <w:left w:val="none" w:sz="0" w:space="0" w:color="auto"/>
                <w:bottom w:val="none" w:sz="0" w:space="0" w:color="auto"/>
                <w:right w:val="none" w:sz="0" w:space="0" w:color="auto"/>
                <w:between w:val="none" w:sz="0" w:space="0" w:color="auto"/>
                <w:bar w:val="none" w:sz="0" w:color="auto"/>
              </w:pBdr>
              <w:jc w:val="both"/>
              <w:rPr>
                <w:color w:val="002060"/>
                <w:szCs w:val="20"/>
              </w:rPr>
            </w:pPr>
            <w:hyperlink r:id="rId10" w:history="1">
              <w:r>
                <w:rPr>
                  <w:rStyle w:val="Hyperlink"/>
                  <w:color w:val="002060"/>
                </w:rPr>
                <w:t>investor.relations@fincantieri.it</w:t>
              </w:r>
            </w:hyperlink>
          </w:p>
        </w:tc>
      </w:tr>
    </w:tbl>
    <w:p w14:paraId="10216C16" w14:textId="77777777" w:rsidR="00336E5B" w:rsidRDefault="00336E5B" w:rsidP="006511E6">
      <w:pPr>
        <w:pStyle w:val="Default"/>
        <w:jc w:val="both"/>
        <w:rPr>
          <w:rFonts w:ascii="Trade Gothic LT Std" w:hAnsi="Trade Gothic LT Std"/>
          <w:color w:val="1D3D71"/>
          <w:lang w:eastAsia="en-US"/>
        </w:rPr>
      </w:pPr>
    </w:p>
    <w:sectPr w:rsidR="00336E5B" w:rsidSect="00DC4BCF">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94" w:footer="13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5CB85" w14:textId="77777777" w:rsidR="007414BB" w:rsidRDefault="007414BB">
      <w:r>
        <w:separator/>
      </w:r>
    </w:p>
  </w:endnote>
  <w:endnote w:type="continuationSeparator" w:id="0">
    <w:p w14:paraId="73EF363F" w14:textId="77777777" w:rsidR="007414BB" w:rsidRDefault="00741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rade Gothic LT Std">
    <w:panose1 w:val="020B0503020502020204"/>
    <w:charset w:val="00"/>
    <w:family w:val="swiss"/>
    <w:notTrueType/>
    <w:pitch w:val="variable"/>
    <w:sig w:usb0="00000003" w:usb1="00000000" w:usb2="00000000" w:usb3="00000000" w:csb0="00000001" w:csb1="00000000"/>
  </w:font>
  <w:font w:name="Druk Wide Medium">
    <w:altName w:val="Calibri"/>
    <w:panose1 w:val="00000000000000000000"/>
    <w:charset w:val="00"/>
    <w:family w:val="modern"/>
    <w:notTrueType/>
    <w:pitch w:val="variable"/>
    <w:sig w:usb0="00000007" w:usb1="00000000" w:usb2="00000000" w:usb3="00000000" w:csb0="00000093" w:csb1="00000000"/>
  </w:font>
  <w:font w:name="Fraktion Mono">
    <w:altName w:val="Calibri"/>
    <w:panose1 w:val="00000000000000000000"/>
    <w:charset w:val="00"/>
    <w:family w:val="modern"/>
    <w:notTrueType/>
    <w:pitch w:val="fixed"/>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4276887"/>
      <w:docPartObj>
        <w:docPartGallery w:val="Page Numbers (Bottom of Page)"/>
        <w:docPartUnique/>
      </w:docPartObj>
    </w:sdtPr>
    <w:sdtContent>
      <w:p w14:paraId="067D5B49" w14:textId="7BE1F179" w:rsidR="00CB336C" w:rsidRDefault="00CB336C" w:rsidP="004E7F2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EE248A" w14:textId="77777777" w:rsidR="00CB336C" w:rsidRDefault="00CB336C" w:rsidP="00CB336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rade Gothic LT Std" w:hAnsi="Trade Gothic LT Std"/>
        <w:color w:val="1D3D71"/>
        <w:sz w:val="20"/>
        <w:szCs w:val="20"/>
      </w:rPr>
      <w:id w:val="-926265183"/>
      <w:docPartObj>
        <w:docPartGallery w:val="Page Numbers (Bottom of Page)"/>
        <w:docPartUnique/>
      </w:docPartObj>
    </w:sdtPr>
    <w:sdtContent>
      <w:p w14:paraId="567349F4" w14:textId="6A0D7DC2" w:rsidR="00CB336C" w:rsidRDefault="00CB336C" w:rsidP="00143D27">
        <w:pPr>
          <w:pStyle w:val="Footer"/>
          <w:framePr w:wrap="none" w:vAnchor="text" w:hAnchor="page" w:x="678" w:y="241"/>
          <w:rPr>
            <w:rStyle w:val="PageNumber"/>
            <w:rFonts w:ascii="Trade Gothic LT Std" w:hAnsi="Trade Gothic LT Std"/>
            <w:color w:val="1D3D71"/>
            <w:sz w:val="20"/>
            <w:szCs w:val="20"/>
          </w:rPr>
        </w:pPr>
        <w:r w:rsidRPr="00CB336C">
          <w:rPr>
            <w:rStyle w:val="PageNumber"/>
            <w:rFonts w:ascii="Trade Gothic LT Std" w:hAnsi="Trade Gothic LT Std"/>
            <w:color w:val="1D3D71"/>
            <w:sz w:val="20"/>
            <w:szCs w:val="20"/>
          </w:rPr>
          <w:fldChar w:fldCharType="begin"/>
        </w:r>
        <w:r w:rsidRPr="00CB336C">
          <w:rPr>
            <w:rStyle w:val="PageNumber"/>
            <w:rFonts w:ascii="Trade Gothic LT Std" w:hAnsi="Trade Gothic LT Std"/>
            <w:color w:val="1D3D71"/>
            <w:sz w:val="20"/>
            <w:szCs w:val="20"/>
          </w:rPr>
          <w:instrText xml:space="preserve"> PAGE </w:instrText>
        </w:r>
        <w:r w:rsidRPr="00CB336C">
          <w:rPr>
            <w:rStyle w:val="PageNumber"/>
            <w:rFonts w:ascii="Trade Gothic LT Std" w:hAnsi="Trade Gothic LT Std"/>
            <w:color w:val="1D3D71"/>
            <w:sz w:val="20"/>
            <w:szCs w:val="20"/>
          </w:rPr>
          <w:fldChar w:fldCharType="separate"/>
        </w:r>
        <w:r w:rsidRPr="00CB336C">
          <w:rPr>
            <w:rStyle w:val="PageNumber"/>
            <w:rFonts w:ascii="Trade Gothic LT Std" w:hAnsi="Trade Gothic LT Std"/>
            <w:noProof/>
            <w:color w:val="1D3D71"/>
            <w:sz w:val="20"/>
            <w:szCs w:val="20"/>
          </w:rPr>
          <w:t>1</w:t>
        </w:r>
        <w:r w:rsidRPr="00CB336C">
          <w:rPr>
            <w:rStyle w:val="PageNumber"/>
            <w:rFonts w:ascii="Trade Gothic LT Std" w:hAnsi="Trade Gothic LT Std"/>
            <w:color w:val="1D3D71"/>
            <w:sz w:val="20"/>
            <w:szCs w:val="20"/>
          </w:rPr>
          <w:fldChar w:fldCharType="end"/>
        </w:r>
      </w:p>
    </w:sdtContent>
  </w:sdt>
  <w:p w14:paraId="779F4841" w14:textId="77777777" w:rsidR="00334F31" w:rsidRPr="00CB336C" w:rsidRDefault="00334F31" w:rsidP="00143D27">
    <w:pPr>
      <w:pStyle w:val="Footer"/>
      <w:framePr w:wrap="none" w:vAnchor="text" w:hAnchor="page" w:x="678" w:y="241"/>
      <w:rPr>
        <w:rStyle w:val="PageNumber"/>
        <w:rFonts w:ascii="Trade Gothic LT Std" w:hAnsi="Trade Gothic LT Std"/>
        <w:color w:val="1D3D71"/>
        <w:sz w:val="20"/>
        <w:szCs w:val="20"/>
      </w:rPr>
    </w:pPr>
  </w:p>
  <w:p w14:paraId="1626180B" w14:textId="77777777" w:rsidR="00CB336C" w:rsidRDefault="00CB336C" w:rsidP="00CB336C">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82CC" w14:textId="77777777" w:rsidR="003E17F6" w:rsidRDefault="003E1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57614" w14:textId="77777777" w:rsidR="007414BB" w:rsidRDefault="007414BB">
      <w:r>
        <w:separator/>
      </w:r>
    </w:p>
  </w:footnote>
  <w:footnote w:type="continuationSeparator" w:id="0">
    <w:p w14:paraId="14433E81" w14:textId="77777777" w:rsidR="007414BB" w:rsidRDefault="00741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3B4E4" w14:textId="189B6D53" w:rsidR="001D3512" w:rsidRDefault="00000000">
    <w:pPr>
      <w:pStyle w:val="Header"/>
    </w:pPr>
    <w:r>
      <w:rPr>
        <w:noProof/>
      </w:rPr>
      <w:pict w14:anchorId="1DBDB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397035" o:spid="_x0000_s1030" type="#_x0000_t75" alt="" style="position:absolute;margin-left:0;margin-top:0;width:595.4pt;height:841.9pt;z-index:-251627520;mso-wrap-edited:f;mso-width-percent:0;mso-height-percent:0;mso-position-horizontal:center;mso-position-horizontal-relative:margin;mso-position-vertical:center;mso-position-vertical-relative:margin;mso-width-percent:0;mso-height-percent:0" o:allowincell="f">
          <v:imagedata r:id="rId1" o:title="COMUNICATO STAMPA_SENZA SFONDO"/>
          <w10:wrap anchorx="margin" anchory="margin"/>
        </v:shape>
      </w:pict>
    </w:r>
    <w:r>
      <w:rPr>
        <w:noProof/>
      </w:rPr>
      <w:pict w14:anchorId="1811A67A">
        <v:shape id="WordPictureWatermark875030948" o:spid="_x0000_s1029" type="#_x0000_t75" alt="" style="position:absolute;margin-left:0;margin-top:0;width:595.4pt;height:841.9pt;z-index:-251633664;mso-wrap-edited:f;mso-width-percent:0;mso-height-percent:0;mso-position-horizontal:center;mso-position-horizontal-relative:margin;mso-position-vertical:center;mso-position-vertical-relative:margin;mso-width-percent:0;mso-height-percent:0" o:allowincell="f">
          <v:imagedata r:id="rId2" o:title="COMUNICATO STAMPA_SENZA SFONDO"/>
          <w10:wrap anchorx="margin" anchory="margin"/>
        </v:shape>
      </w:pict>
    </w:r>
    <w:r>
      <w:rPr>
        <w:noProof/>
      </w:rPr>
      <w:pict w14:anchorId="2092692F">
        <v:shape id="WordPictureWatermark869864569" o:spid="_x0000_s1028" type="#_x0000_t75" alt="" style="position:absolute;margin-left:0;margin-top:0;width:595.4pt;height:841.9pt;z-index:-251645952;mso-wrap-edited:f;mso-width-percent:0;mso-height-percent:0;mso-position-horizontal:center;mso-position-horizontal-relative:margin;mso-position-vertical:center;mso-position-vertical-relative:margin;mso-width-percent:0;mso-height-percent:0" o:allowincell="f">
          <v:imagedata r:id="rId3" o:title="COMUNICATO STAMPA"/>
          <w10:wrap anchorx="margin" anchory="margin"/>
        </v:shape>
      </w:pict>
    </w:r>
    <w:r>
      <w:rPr>
        <w:noProof/>
      </w:rPr>
      <w:pict w14:anchorId="49B0EBA3">
        <v:shape id="WordPictureWatermark869498061" o:spid="_x0000_s1027" type="#_x0000_t75" alt="" style="position:absolute;margin-left:0;margin-top:0;width:595.4pt;height:841.9pt;z-index:-251652096;mso-wrap-edited:f;mso-width-percent:0;mso-height-percent:0;mso-position-horizontal:center;mso-position-horizontal-relative:margin;mso-position-vertical:center;mso-position-vertical-relative:margin;mso-width-percent:0;mso-height-percent:0" o:allowincell="f">
          <v:imagedata r:id="rId4" o:title="COMUNICAT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3F57" w14:textId="50FB1000" w:rsidR="00334F31" w:rsidRDefault="00000000">
    <w:r>
      <w:rPr>
        <w:noProof/>
      </w:rPr>
      <w:pict w14:anchorId="4AA1C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397036" o:spid="_x0000_s1026" type="#_x0000_t75" alt="" style="position:absolute;margin-left:0;margin-top:0;width:595.4pt;height:841.9pt;z-index:-251624448;mso-wrap-edited:f;mso-width-percent:0;mso-height-percent:0;mso-position-horizontal:center;mso-position-horizontal-relative:margin;mso-position-vertical:center;mso-position-vertical-relative:margin;mso-width-percent:0;mso-height-percent:0" o:allowincell="f">
          <v:imagedata r:id="rId1" o:title="COMUNICATO STAMPA_SENZA SFONDO"/>
          <w10:wrap anchorx="margin" anchory="margin"/>
        </v:shape>
      </w:pict>
    </w:r>
  </w:p>
  <w:tbl>
    <w:tblPr>
      <w:tblStyle w:val="TableGrid"/>
      <w:tblW w:w="10450" w:type="dxa"/>
      <w:tblInd w:w="-398" w:type="dxa"/>
      <w:tblLook w:val="04A0" w:firstRow="1" w:lastRow="0" w:firstColumn="1" w:lastColumn="0" w:noHBand="0" w:noVBand="1"/>
    </w:tblPr>
    <w:tblGrid>
      <w:gridCol w:w="10450"/>
    </w:tblGrid>
    <w:tr w:rsidR="00CB336C" w:rsidRPr="008E6AD8" w14:paraId="5F7E2328" w14:textId="77777777" w:rsidTr="00D34DF3">
      <w:trPr>
        <w:trHeight w:val="319"/>
      </w:trPr>
      <w:tc>
        <w:tcPr>
          <w:tcW w:w="10450" w:type="dxa"/>
          <w:tcBorders>
            <w:top w:val="nil"/>
            <w:left w:val="nil"/>
            <w:bottom w:val="nil"/>
            <w:right w:val="nil"/>
          </w:tcBorders>
        </w:tcPr>
        <w:p w14:paraId="3228BA41" w14:textId="798A8F99" w:rsidR="00CB336C" w:rsidRPr="008E6AD8" w:rsidRDefault="00BE58C4" w:rsidP="00CB336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rade Gothic LT Std" w:hAnsi="Trade Gothic LT Std"/>
              <w:sz w:val="20"/>
              <w:szCs w:val="20"/>
            </w:rPr>
          </w:pPr>
          <w:r w:rsidRPr="008E6AD8">
            <w:rPr>
              <w:rFonts w:ascii="Trade Gothic LT Std" w:hAnsi="Trade Gothic LT Std"/>
              <w:color w:val="193E71"/>
              <w:sz w:val="20"/>
              <w:szCs w:val="20"/>
            </w:rPr>
            <w:t>Trieste</w:t>
          </w:r>
          <w:r w:rsidR="00CB336C" w:rsidRPr="008E6AD8">
            <w:rPr>
              <w:rFonts w:ascii="Trade Gothic LT Std" w:hAnsi="Trade Gothic LT Std"/>
              <w:color w:val="193E71"/>
              <w:sz w:val="20"/>
              <w:szCs w:val="20"/>
            </w:rPr>
            <w:t xml:space="preserve">, </w:t>
          </w:r>
          <w:r w:rsidR="00B00012">
            <w:rPr>
              <w:rFonts w:ascii="Trade Gothic LT Std" w:hAnsi="Trade Gothic LT Std"/>
              <w:color w:val="193E71"/>
              <w:sz w:val="20"/>
              <w:szCs w:val="20"/>
            </w:rPr>
            <w:t xml:space="preserve">23 </w:t>
          </w:r>
          <w:r w:rsidR="00C24838" w:rsidRPr="008E6AD8">
            <w:rPr>
              <w:rFonts w:ascii="Trade Gothic LT Std" w:hAnsi="Trade Gothic LT Std"/>
              <w:color w:val="193E71"/>
              <w:sz w:val="20"/>
              <w:szCs w:val="20"/>
            </w:rPr>
            <w:t>o</w:t>
          </w:r>
          <w:r w:rsidR="00B00012">
            <w:rPr>
              <w:rFonts w:ascii="Trade Gothic LT Std" w:hAnsi="Trade Gothic LT Std"/>
              <w:color w:val="193E71"/>
              <w:sz w:val="20"/>
              <w:szCs w:val="20"/>
            </w:rPr>
            <w:t>ttobre</w:t>
          </w:r>
          <w:r w:rsidR="00C24838" w:rsidRPr="008E6AD8">
            <w:rPr>
              <w:rFonts w:ascii="Trade Gothic LT Std" w:hAnsi="Trade Gothic LT Std"/>
              <w:color w:val="193E71"/>
              <w:sz w:val="20"/>
              <w:szCs w:val="20"/>
            </w:rPr>
            <w:t xml:space="preserve"> 2025</w:t>
          </w:r>
        </w:p>
      </w:tc>
    </w:tr>
  </w:tbl>
  <w:p w14:paraId="04710B63" w14:textId="5E908BDA" w:rsidR="006903AE" w:rsidRPr="008E6AD8" w:rsidRDefault="006903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E55EA" w14:textId="56274BF2" w:rsidR="001D3512" w:rsidRDefault="00000000">
    <w:pPr>
      <w:pStyle w:val="Header"/>
    </w:pPr>
    <w:r>
      <w:rPr>
        <w:noProof/>
      </w:rPr>
      <w:pict w14:anchorId="3C997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397034" o:spid="_x0000_s1025" type="#_x0000_t75" alt="" style="position:absolute;margin-left:0;margin-top:0;width:595.4pt;height:841.9pt;z-index:-251630592;mso-wrap-edited:f;mso-width-percent:0;mso-height-percent:0;mso-position-horizontal:center;mso-position-horizontal-relative:margin;mso-position-vertical:center;mso-position-vertical-relative:margin;mso-width-percent:0;mso-height-percent:0" o:allowincell="f">
          <v:imagedata r:id="rId1" o:title="COMUNICATO STAMPA_SENZA SFO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2B25F0"/>
    <w:multiLevelType w:val="hybridMultilevel"/>
    <w:tmpl w:val="12D825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3484213"/>
    <w:multiLevelType w:val="hybridMultilevel"/>
    <w:tmpl w:val="D7FEB090"/>
    <w:lvl w:ilvl="0" w:tplc="3B5E002C">
      <w:start w:val="2023"/>
      <w:numFmt w:val="bullet"/>
      <w:pStyle w:val="Elencopuntato"/>
      <w:lvlText w:val="-"/>
      <w:lvlJc w:val="left"/>
      <w:pPr>
        <w:ind w:left="473" w:hanging="360"/>
      </w:pPr>
      <w:rPr>
        <w:rFonts w:ascii="Helvetica Neue" w:eastAsia="Arial Unicode MS" w:hAnsi="Helvetica Neue" w:cs="Arial Unicode MS"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2" w15:restartNumberingAfterBreak="0">
    <w:nsid w:val="7CFC34F8"/>
    <w:multiLevelType w:val="hybridMultilevel"/>
    <w:tmpl w:val="7B142E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92491045">
    <w:abstractNumId w:val="1"/>
  </w:num>
  <w:num w:numId="2" w16cid:durableId="1709598496">
    <w:abstractNumId w:val="2"/>
  </w:num>
  <w:num w:numId="3" w16cid:durableId="1516571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3AE"/>
    <w:rsid w:val="00001CAF"/>
    <w:rsid w:val="00006CA1"/>
    <w:rsid w:val="00010EAF"/>
    <w:rsid w:val="00013E22"/>
    <w:rsid w:val="000222C5"/>
    <w:rsid w:val="00023AA4"/>
    <w:rsid w:val="0003282B"/>
    <w:rsid w:val="00034746"/>
    <w:rsid w:val="00034BBF"/>
    <w:rsid w:val="00035B2A"/>
    <w:rsid w:val="000415C5"/>
    <w:rsid w:val="00041EEB"/>
    <w:rsid w:val="0004439D"/>
    <w:rsid w:val="00053812"/>
    <w:rsid w:val="000564FD"/>
    <w:rsid w:val="00056556"/>
    <w:rsid w:val="00057524"/>
    <w:rsid w:val="00060721"/>
    <w:rsid w:val="0006080C"/>
    <w:rsid w:val="0006725E"/>
    <w:rsid w:val="00067782"/>
    <w:rsid w:val="0007270D"/>
    <w:rsid w:val="00077ABA"/>
    <w:rsid w:val="0008510C"/>
    <w:rsid w:val="00085479"/>
    <w:rsid w:val="00086828"/>
    <w:rsid w:val="000915B4"/>
    <w:rsid w:val="000976DB"/>
    <w:rsid w:val="000A113A"/>
    <w:rsid w:val="000A12FC"/>
    <w:rsid w:val="000A3703"/>
    <w:rsid w:val="000A4C87"/>
    <w:rsid w:val="000A5C6E"/>
    <w:rsid w:val="000B2070"/>
    <w:rsid w:val="000B6E34"/>
    <w:rsid w:val="000D3EDD"/>
    <w:rsid w:val="000D70B9"/>
    <w:rsid w:val="000D71F9"/>
    <w:rsid w:val="000E4255"/>
    <w:rsid w:val="000F1607"/>
    <w:rsid w:val="000F21F7"/>
    <w:rsid w:val="000F5191"/>
    <w:rsid w:val="0010054B"/>
    <w:rsid w:val="00102AF4"/>
    <w:rsid w:val="00102F32"/>
    <w:rsid w:val="00106193"/>
    <w:rsid w:val="00110C03"/>
    <w:rsid w:val="00113804"/>
    <w:rsid w:val="0012663C"/>
    <w:rsid w:val="00126D9D"/>
    <w:rsid w:val="001307A0"/>
    <w:rsid w:val="00140722"/>
    <w:rsid w:val="001407FA"/>
    <w:rsid w:val="00141960"/>
    <w:rsid w:val="00143D27"/>
    <w:rsid w:val="00144CC9"/>
    <w:rsid w:val="00145A83"/>
    <w:rsid w:val="001478C2"/>
    <w:rsid w:val="00150351"/>
    <w:rsid w:val="0015497C"/>
    <w:rsid w:val="001615FC"/>
    <w:rsid w:val="00164C2D"/>
    <w:rsid w:val="001677E8"/>
    <w:rsid w:val="001705AD"/>
    <w:rsid w:val="001735B2"/>
    <w:rsid w:val="00176D68"/>
    <w:rsid w:val="001841DA"/>
    <w:rsid w:val="001852CB"/>
    <w:rsid w:val="001865FF"/>
    <w:rsid w:val="00196697"/>
    <w:rsid w:val="00196A02"/>
    <w:rsid w:val="00197689"/>
    <w:rsid w:val="001A0107"/>
    <w:rsid w:val="001A53DB"/>
    <w:rsid w:val="001A5875"/>
    <w:rsid w:val="001B2C19"/>
    <w:rsid w:val="001B58A8"/>
    <w:rsid w:val="001B68BC"/>
    <w:rsid w:val="001D2A16"/>
    <w:rsid w:val="001D3512"/>
    <w:rsid w:val="001E546D"/>
    <w:rsid w:val="001E5724"/>
    <w:rsid w:val="001E57ED"/>
    <w:rsid w:val="001F3A4E"/>
    <w:rsid w:val="001F6146"/>
    <w:rsid w:val="00210A98"/>
    <w:rsid w:val="00213002"/>
    <w:rsid w:val="00213E6F"/>
    <w:rsid w:val="00215123"/>
    <w:rsid w:val="0021652F"/>
    <w:rsid w:val="0021690E"/>
    <w:rsid w:val="0022011E"/>
    <w:rsid w:val="002219E7"/>
    <w:rsid w:val="0022375A"/>
    <w:rsid w:val="002251B2"/>
    <w:rsid w:val="00233AAE"/>
    <w:rsid w:val="00234E72"/>
    <w:rsid w:val="002357ED"/>
    <w:rsid w:val="00236E1B"/>
    <w:rsid w:val="002416D9"/>
    <w:rsid w:val="0024250A"/>
    <w:rsid w:val="00243E1F"/>
    <w:rsid w:val="00253C44"/>
    <w:rsid w:val="002543A0"/>
    <w:rsid w:val="00256C4C"/>
    <w:rsid w:val="002573F4"/>
    <w:rsid w:val="00266A8C"/>
    <w:rsid w:val="0026702C"/>
    <w:rsid w:val="00280ABF"/>
    <w:rsid w:val="00281F48"/>
    <w:rsid w:val="002854A9"/>
    <w:rsid w:val="00296112"/>
    <w:rsid w:val="00296DD6"/>
    <w:rsid w:val="002A4F91"/>
    <w:rsid w:val="002A592C"/>
    <w:rsid w:val="002A633A"/>
    <w:rsid w:val="002B16F7"/>
    <w:rsid w:val="002B3F9B"/>
    <w:rsid w:val="002B4B07"/>
    <w:rsid w:val="002C1DC2"/>
    <w:rsid w:val="002C2EE7"/>
    <w:rsid w:val="002C3FE7"/>
    <w:rsid w:val="002D0330"/>
    <w:rsid w:val="002E025D"/>
    <w:rsid w:val="002F18B3"/>
    <w:rsid w:val="002F41F4"/>
    <w:rsid w:val="002F428F"/>
    <w:rsid w:val="002F4638"/>
    <w:rsid w:val="002F6962"/>
    <w:rsid w:val="00307EC6"/>
    <w:rsid w:val="00310740"/>
    <w:rsid w:val="00312A90"/>
    <w:rsid w:val="003130DD"/>
    <w:rsid w:val="00317FA1"/>
    <w:rsid w:val="003224A7"/>
    <w:rsid w:val="003234A3"/>
    <w:rsid w:val="00327E0E"/>
    <w:rsid w:val="00330FC0"/>
    <w:rsid w:val="00331FA3"/>
    <w:rsid w:val="0033481F"/>
    <w:rsid w:val="00334F31"/>
    <w:rsid w:val="00336CF8"/>
    <w:rsid w:val="00336E5B"/>
    <w:rsid w:val="00345D0A"/>
    <w:rsid w:val="00345D21"/>
    <w:rsid w:val="00356D2B"/>
    <w:rsid w:val="00361F60"/>
    <w:rsid w:val="00364E2A"/>
    <w:rsid w:val="00365AFA"/>
    <w:rsid w:val="003664DD"/>
    <w:rsid w:val="00366DB0"/>
    <w:rsid w:val="003712D7"/>
    <w:rsid w:val="00373554"/>
    <w:rsid w:val="00376F91"/>
    <w:rsid w:val="003806AF"/>
    <w:rsid w:val="00384802"/>
    <w:rsid w:val="00387206"/>
    <w:rsid w:val="003924F6"/>
    <w:rsid w:val="003940BC"/>
    <w:rsid w:val="003A14A4"/>
    <w:rsid w:val="003A2469"/>
    <w:rsid w:val="003A298D"/>
    <w:rsid w:val="003A2AB7"/>
    <w:rsid w:val="003A768B"/>
    <w:rsid w:val="003B3A7B"/>
    <w:rsid w:val="003B658F"/>
    <w:rsid w:val="003C168E"/>
    <w:rsid w:val="003C1FF5"/>
    <w:rsid w:val="003C3F12"/>
    <w:rsid w:val="003C68B4"/>
    <w:rsid w:val="003D2841"/>
    <w:rsid w:val="003D306B"/>
    <w:rsid w:val="003D457E"/>
    <w:rsid w:val="003D5652"/>
    <w:rsid w:val="003E0A62"/>
    <w:rsid w:val="003E17F6"/>
    <w:rsid w:val="003E1DD8"/>
    <w:rsid w:val="00402FB3"/>
    <w:rsid w:val="00403998"/>
    <w:rsid w:val="00404075"/>
    <w:rsid w:val="00406C7D"/>
    <w:rsid w:val="0041056A"/>
    <w:rsid w:val="00412B13"/>
    <w:rsid w:val="0041362C"/>
    <w:rsid w:val="00415906"/>
    <w:rsid w:val="004216D6"/>
    <w:rsid w:val="00431839"/>
    <w:rsid w:val="0044009F"/>
    <w:rsid w:val="0044185A"/>
    <w:rsid w:val="0044267C"/>
    <w:rsid w:val="004442FE"/>
    <w:rsid w:val="004463E5"/>
    <w:rsid w:val="00451F2A"/>
    <w:rsid w:val="00452357"/>
    <w:rsid w:val="0045246A"/>
    <w:rsid w:val="00457DA9"/>
    <w:rsid w:val="0046181C"/>
    <w:rsid w:val="0046458D"/>
    <w:rsid w:val="00464C56"/>
    <w:rsid w:val="00464C58"/>
    <w:rsid w:val="00464E7B"/>
    <w:rsid w:val="00465922"/>
    <w:rsid w:val="004661F5"/>
    <w:rsid w:val="0047795E"/>
    <w:rsid w:val="00477AF3"/>
    <w:rsid w:val="00480C3F"/>
    <w:rsid w:val="00482E89"/>
    <w:rsid w:val="004852AD"/>
    <w:rsid w:val="00485B85"/>
    <w:rsid w:val="00487F39"/>
    <w:rsid w:val="00493752"/>
    <w:rsid w:val="004A27B6"/>
    <w:rsid w:val="004A532A"/>
    <w:rsid w:val="004B1A95"/>
    <w:rsid w:val="004B6451"/>
    <w:rsid w:val="004B6C35"/>
    <w:rsid w:val="004C094A"/>
    <w:rsid w:val="004C4CD6"/>
    <w:rsid w:val="004D1549"/>
    <w:rsid w:val="004E0519"/>
    <w:rsid w:val="004E0D10"/>
    <w:rsid w:val="004E4811"/>
    <w:rsid w:val="004F0675"/>
    <w:rsid w:val="004F0A33"/>
    <w:rsid w:val="004F19EF"/>
    <w:rsid w:val="004F6AD3"/>
    <w:rsid w:val="004F725A"/>
    <w:rsid w:val="0051167F"/>
    <w:rsid w:val="005139C9"/>
    <w:rsid w:val="00514EFF"/>
    <w:rsid w:val="0051666E"/>
    <w:rsid w:val="0052375B"/>
    <w:rsid w:val="00525C7B"/>
    <w:rsid w:val="005271B9"/>
    <w:rsid w:val="005277F9"/>
    <w:rsid w:val="005313EE"/>
    <w:rsid w:val="00535AA2"/>
    <w:rsid w:val="005373F8"/>
    <w:rsid w:val="0054028A"/>
    <w:rsid w:val="0055037B"/>
    <w:rsid w:val="005543FD"/>
    <w:rsid w:val="00557B0F"/>
    <w:rsid w:val="00560E7A"/>
    <w:rsid w:val="00562730"/>
    <w:rsid w:val="00562B39"/>
    <w:rsid w:val="00562B88"/>
    <w:rsid w:val="00565C8E"/>
    <w:rsid w:val="00574029"/>
    <w:rsid w:val="00574AB9"/>
    <w:rsid w:val="0058202A"/>
    <w:rsid w:val="00585326"/>
    <w:rsid w:val="0058607A"/>
    <w:rsid w:val="005A04A1"/>
    <w:rsid w:val="005A3207"/>
    <w:rsid w:val="005B2770"/>
    <w:rsid w:val="005D11B9"/>
    <w:rsid w:val="005D3FF9"/>
    <w:rsid w:val="005E16E7"/>
    <w:rsid w:val="005F51CF"/>
    <w:rsid w:val="00602A47"/>
    <w:rsid w:val="0060380A"/>
    <w:rsid w:val="006065F3"/>
    <w:rsid w:val="00613238"/>
    <w:rsid w:val="00616A79"/>
    <w:rsid w:val="006224C3"/>
    <w:rsid w:val="00623B3F"/>
    <w:rsid w:val="00624F61"/>
    <w:rsid w:val="0063674A"/>
    <w:rsid w:val="00640945"/>
    <w:rsid w:val="00643743"/>
    <w:rsid w:val="00644A7D"/>
    <w:rsid w:val="006460A7"/>
    <w:rsid w:val="00646427"/>
    <w:rsid w:val="00647EBA"/>
    <w:rsid w:val="00650652"/>
    <w:rsid w:val="006511E6"/>
    <w:rsid w:val="00651D23"/>
    <w:rsid w:val="00652E79"/>
    <w:rsid w:val="00660FB3"/>
    <w:rsid w:val="00663A19"/>
    <w:rsid w:val="00666C0B"/>
    <w:rsid w:val="006723B5"/>
    <w:rsid w:val="00674961"/>
    <w:rsid w:val="00675536"/>
    <w:rsid w:val="00675B30"/>
    <w:rsid w:val="006774F6"/>
    <w:rsid w:val="00680F30"/>
    <w:rsid w:val="00685855"/>
    <w:rsid w:val="00687908"/>
    <w:rsid w:val="006903AE"/>
    <w:rsid w:val="0069067F"/>
    <w:rsid w:val="00693F6B"/>
    <w:rsid w:val="006953FB"/>
    <w:rsid w:val="00696A6D"/>
    <w:rsid w:val="00696BCD"/>
    <w:rsid w:val="00697B9B"/>
    <w:rsid w:val="006A37A3"/>
    <w:rsid w:val="006A6075"/>
    <w:rsid w:val="006A60D0"/>
    <w:rsid w:val="006B042C"/>
    <w:rsid w:val="006B1ABA"/>
    <w:rsid w:val="006B64DD"/>
    <w:rsid w:val="006B6A69"/>
    <w:rsid w:val="006C2666"/>
    <w:rsid w:val="006D5255"/>
    <w:rsid w:val="006D653F"/>
    <w:rsid w:val="006E1752"/>
    <w:rsid w:val="006E52A9"/>
    <w:rsid w:val="006E67F7"/>
    <w:rsid w:val="006F2E0C"/>
    <w:rsid w:val="006F3494"/>
    <w:rsid w:val="006F55AC"/>
    <w:rsid w:val="006F58CE"/>
    <w:rsid w:val="0070245A"/>
    <w:rsid w:val="007049DA"/>
    <w:rsid w:val="0071055B"/>
    <w:rsid w:val="007121D2"/>
    <w:rsid w:val="0071356C"/>
    <w:rsid w:val="00716453"/>
    <w:rsid w:val="00717296"/>
    <w:rsid w:val="0071733E"/>
    <w:rsid w:val="00721888"/>
    <w:rsid w:val="00730AE7"/>
    <w:rsid w:val="00732D0E"/>
    <w:rsid w:val="00735DA3"/>
    <w:rsid w:val="007414BB"/>
    <w:rsid w:val="00742641"/>
    <w:rsid w:val="00743126"/>
    <w:rsid w:val="00753998"/>
    <w:rsid w:val="00760ABF"/>
    <w:rsid w:val="007617A1"/>
    <w:rsid w:val="00762D49"/>
    <w:rsid w:val="00764A95"/>
    <w:rsid w:val="007652DB"/>
    <w:rsid w:val="0077316D"/>
    <w:rsid w:val="00773655"/>
    <w:rsid w:val="007738E7"/>
    <w:rsid w:val="00775E17"/>
    <w:rsid w:val="00781080"/>
    <w:rsid w:val="007819BD"/>
    <w:rsid w:val="00783230"/>
    <w:rsid w:val="00784C23"/>
    <w:rsid w:val="0078541B"/>
    <w:rsid w:val="0078759D"/>
    <w:rsid w:val="007902A6"/>
    <w:rsid w:val="00791E29"/>
    <w:rsid w:val="00792559"/>
    <w:rsid w:val="00792948"/>
    <w:rsid w:val="007A1A55"/>
    <w:rsid w:val="007A6119"/>
    <w:rsid w:val="007B2F8B"/>
    <w:rsid w:val="007B3563"/>
    <w:rsid w:val="007C5CF3"/>
    <w:rsid w:val="007D058C"/>
    <w:rsid w:val="007D2D02"/>
    <w:rsid w:val="007D45F5"/>
    <w:rsid w:val="007D5F0E"/>
    <w:rsid w:val="007D6910"/>
    <w:rsid w:val="007E412B"/>
    <w:rsid w:val="007E619F"/>
    <w:rsid w:val="007F1B15"/>
    <w:rsid w:val="007F2DB0"/>
    <w:rsid w:val="007F7614"/>
    <w:rsid w:val="0080087C"/>
    <w:rsid w:val="00807A62"/>
    <w:rsid w:val="008151CF"/>
    <w:rsid w:val="00816D55"/>
    <w:rsid w:val="00817D92"/>
    <w:rsid w:val="008225C3"/>
    <w:rsid w:val="00823879"/>
    <w:rsid w:val="00824EC2"/>
    <w:rsid w:val="00827DB5"/>
    <w:rsid w:val="008311DA"/>
    <w:rsid w:val="00831A8D"/>
    <w:rsid w:val="00831CBB"/>
    <w:rsid w:val="00832801"/>
    <w:rsid w:val="008339BD"/>
    <w:rsid w:val="0083442B"/>
    <w:rsid w:val="0083515C"/>
    <w:rsid w:val="00840D3E"/>
    <w:rsid w:val="0084177C"/>
    <w:rsid w:val="00841928"/>
    <w:rsid w:val="008425DF"/>
    <w:rsid w:val="0084747D"/>
    <w:rsid w:val="00847483"/>
    <w:rsid w:val="00850FA4"/>
    <w:rsid w:val="00860860"/>
    <w:rsid w:val="00864491"/>
    <w:rsid w:val="008753C3"/>
    <w:rsid w:val="008805E2"/>
    <w:rsid w:val="008818D6"/>
    <w:rsid w:val="00882A85"/>
    <w:rsid w:val="0088508D"/>
    <w:rsid w:val="0089077F"/>
    <w:rsid w:val="00891C50"/>
    <w:rsid w:val="008A59EC"/>
    <w:rsid w:val="008A6441"/>
    <w:rsid w:val="008B087C"/>
    <w:rsid w:val="008B6D6B"/>
    <w:rsid w:val="008C71B2"/>
    <w:rsid w:val="008D1DA0"/>
    <w:rsid w:val="008E4CA3"/>
    <w:rsid w:val="008E6AD8"/>
    <w:rsid w:val="008E6E14"/>
    <w:rsid w:val="008E75FC"/>
    <w:rsid w:val="008F0540"/>
    <w:rsid w:val="008F19CE"/>
    <w:rsid w:val="008F34C1"/>
    <w:rsid w:val="008F594B"/>
    <w:rsid w:val="00902ABD"/>
    <w:rsid w:val="00907DF1"/>
    <w:rsid w:val="00911615"/>
    <w:rsid w:val="00912789"/>
    <w:rsid w:val="009171C8"/>
    <w:rsid w:val="009177D5"/>
    <w:rsid w:val="00921C42"/>
    <w:rsid w:val="0092235E"/>
    <w:rsid w:val="00923B6E"/>
    <w:rsid w:val="009264D5"/>
    <w:rsid w:val="00935359"/>
    <w:rsid w:val="00942F7B"/>
    <w:rsid w:val="00945A8A"/>
    <w:rsid w:val="0094660C"/>
    <w:rsid w:val="00950C11"/>
    <w:rsid w:val="009525CF"/>
    <w:rsid w:val="009530A6"/>
    <w:rsid w:val="009550CF"/>
    <w:rsid w:val="0095526B"/>
    <w:rsid w:val="00965D7D"/>
    <w:rsid w:val="00965F8D"/>
    <w:rsid w:val="00972182"/>
    <w:rsid w:val="00975D80"/>
    <w:rsid w:val="0098624A"/>
    <w:rsid w:val="009A1084"/>
    <w:rsid w:val="009A363C"/>
    <w:rsid w:val="009A37EF"/>
    <w:rsid w:val="009B1F09"/>
    <w:rsid w:val="009B2F70"/>
    <w:rsid w:val="009B362E"/>
    <w:rsid w:val="009B622A"/>
    <w:rsid w:val="009C0C0F"/>
    <w:rsid w:val="009C27FA"/>
    <w:rsid w:val="009C49F6"/>
    <w:rsid w:val="009D1A7C"/>
    <w:rsid w:val="009D2045"/>
    <w:rsid w:val="009D792D"/>
    <w:rsid w:val="009E09F2"/>
    <w:rsid w:val="009E10EC"/>
    <w:rsid w:val="009E17C6"/>
    <w:rsid w:val="009E242A"/>
    <w:rsid w:val="009E512A"/>
    <w:rsid w:val="009E572C"/>
    <w:rsid w:val="009E735B"/>
    <w:rsid w:val="009F0796"/>
    <w:rsid w:val="009F2AF2"/>
    <w:rsid w:val="009F2C4F"/>
    <w:rsid w:val="009F5572"/>
    <w:rsid w:val="009F5DCE"/>
    <w:rsid w:val="00A02F6B"/>
    <w:rsid w:val="00A04986"/>
    <w:rsid w:val="00A0569B"/>
    <w:rsid w:val="00A207B9"/>
    <w:rsid w:val="00A21C06"/>
    <w:rsid w:val="00A222B3"/>
    <w:rsid w:val="00A23174"/>
    <w:rsid w:val="00A25B1B"/>
    <w:rsid w:val="00A27D82"/>
    <w:rsid w:val="00A34ADD"/>
    <w:rsid w:val="00A4079C"/>
    <w:rsid w:val="00A4093D"/>
    <w:rsid w:val="00A445FD"/>
    <w:rsid w:val="00A45109"/>
    <w:rsid w:val="00A50748"/>
    <w:rsid w:val="00A53C3C"/>
    <w:rsid w:val="00A57745"/>
    <w:rsid w:val="00A61E50"/>
    <w:rsid w:val="00A62E11"/>
    <w:rsid w:val="00A7099C"/>
    <w:rsid w:val="00A72BEB"/>
    <w:rsid w:val="00A73BA9"/>
    <w:rsid w:val="00A75EB4"/>
    <w:rsid w:val="00A776CD"/>
    <w:rsid w:val="00A81DD2"/>
    <w:rsid w:val="00A81F71"/>
    <w:rsid w:val="00A82470"/>
    <w:rsid w:val="00A86D02"/>
    <w:rsid w:val="00A960EB"/>
    <w:rsid w:val="00A97FAF"/>
    <w:rsid w:val="00AA0491"/>
    <w:rsid w:val="00AA48AC"/>
    <w:rsid w:val="00AB3950"/>
    <w:rsid w:val="00AB6F8B"/>
    <w:rsid w:val="00AB7CC6"/>
    <w:rsid w:val="00AC1017"/>
    <w:rsid w:val="00AC5038"/>
    <w:rsid w:val="00AC63BE"/>
    <w:rsid w:val="00AD6DE1"/>
    <w:rsid w:val="00AE029B"/>
    <w:rsid w:val="00AE3957"/>
    <w:rsid w:val="00AE52A2"/>
    <w:rsid w:val="00AE5499"/>
    <w:rsid w:val="00AE6FAB"/>
    <w:rsid w:val="00AE723F"/>
    <w:rsid w:val="00AF7E79"/>
    <w:rsid w:val="00B00012"/>
    <w:rsid w:val="00B0159E"/>
    <w:rsid w:val="00B016E4"/>
    <w:rsid w:val="00B01F7C"/>
    <w:rsid w:val="00B02671"/>
    <w:rsid w:val="00B02E83"/>
    <w:rsid w:val="00B059F6"/>
    <w:rsid w:val="00B15CDA"/>
    <w:rsid w:val="00B168A2"/>
    <w:rsid w:val="00B16F9A"/>
    <w:rsid w:val="00B26BA4"/>
    <w:rsid w:val="00B3710E"/>
    <w:rsid w:val="00B409E8"/>
    <w:rsid w:val="00B40BE5"/>
    <w:rsid w:val="00B41DAD"/>
    <w:rsid w:val="00B425DA"/>
    <w:rsid w:val="00B55F94"/>
    <w:rsid w:val="00B63FCE"/>
    <w:rsid w:val="00B65E3E"/>
    <w:rsid w:val="00B677F0"/>
    <w:rsid w:val="00B7428D"/>
    <w:rsid w:val="00B81ADC"/>
    <w:rsid w:val="00B82969"/>
    <w:rsid w:val="00B8503C"/>
    <w:rsid w:val="00B8533F"/>
    <w:rsid w:val="00B87AFE"/>
    <w:rsid w:val="00B97A74"/>
    <w:rsid w:val="00BA0D72"/>
    <w:rsid w:val="00BA1F8E"/>
    <w:rsid w:val="00BA4A88"/>
    <w:rsid w:val="00BA60B6"/>
    <w:rsid w:val="00BB08CA"/>
    <w:rsid w:val="00BB7E7D"/>
    <w:rsid w:val="00BC0823"/>
    <w:rsid w:val="00BC4EAB"/>
    <w:rsid w:val="00BD533D"/>
    <w:rsid w:val="00BD6317"/>
    <w:rsid w:val="00BD7805"/>
    <w:rsid w:val="00BE040C"/>
    <w:rsid w:val="00BE10EF"/>
    <w:rsid w:val="00BE15DA"/>
    <w:rsid w:val="00BE192E"/>
    <w:rsid w:val="00BE1F2F"/>
    <w:rsid w:val="00BE2BC9"/>
    <w:rsid w:val="00BE5490"/>
    <w:rsid w:val="00BE58C4"/>
    <w:rsid w:val="00BE5EA1"/>
    <w:rsid w:val="00BF031A"/>
    <w:rsid w:val="00BF3316"/>
    <w:rsid w:val="00BF3B54"/>
    <w:rsid w:val="00BF4C72"/>
    <w:rsid w:val="00BF55DE"/>
    <w:rsid w:val="00C004F6"/>
    <w:rsid w:val="00C04B7B"/>
    <w:rsid w:val="00C07BDD"/>
    <w:rsid w:val="00C07E1D"/>
    <w:rsid w:val="00C11269"/>
    <w:rsid w:val="00C12CF4"/>
    <w:rsid w:val="00C131C0"/>
    <w:rsid w:val="00C24838"/>
    <w:rsid w:val="00C3128A"/>
    <w:rsid w:val="00C3367D"/>
    <w:rsid w:val="00C35830"/>
    <w:rsid w:val="00C5083B"/>
    <w:rsid w:val="00C50897"/>
    <w:rsid w:val="00C51E0D"/>
    <w:rsid w:val="00C63873"/>
    <w:rsid w:val="00C65394"/>
    <w:rsid w:val="00C67B93"/>
    <w:rsid w:val="00C702BD"/>
    <w:rsid w:val="00C757C7"/>
    <w:rsid w:val="00C77126"/>
    <w:rsid w:val="00C8353F"/>
    <w:rsid w:val="00C86E36"/>
    <w:rsid w:val="00C90EC4"/>
    <w:rsid w:val="00C944E0"/>
    <w:rsid w:val="00CA00F2"/>
    <w:rsid w:val="00CA0DE0"/>
    <w:rsid w:val="00CB336C"/>
    <w:rsid w:val="00CB68F0"/>
    <w:rsid w:val="00CB7921"/>
    <w:rsid w:val="00CC507B"/>
    <w:rsid w:val="00CD1B33"/>
    <w:rsid w:val="00CE057E"/>
    <w:rsid w:val="00CE1257"/>
    <w:rsid w:val="00CF0345"/>
    <w:rsid w:val="00CF61A4"/>
    <w:rsid w:val="00CF75AE"/>
    <w:rsid w:val="00CF76C7"/>
    <w:rsid w:val="00D003D5"/>
    <w:rsid w:val="00D104DA"/>
    <w:rsid w:val="00D22BC2"/>
    <w:rsid w:val="00D30797"/>
    <w:rsid w:val="00D34DF3"/>
    <w:rsid w:val="00D36C03"/>
    <w:rsid w:val="00D42948"/>
    <w:rsid w:val="00D43BC8"/>
    <w:rsid w:val="00D44A78"/>
    <w:rsid w:val="00D51951"/>
    <w:rsid w:val="00D565C0"/>
    <w:rsid w:val="00D61AE4"/>
    <w:rsid w:val="00D63C1C"/>
    <w:rsid w:val="00D64C35"/>
    <w:rsid w:val="00D657CE"/>
    <w:rsid w:val="00D7287B"/>
    <w:rsid w:val="00D72932"/>
    <w:rsid w:val="00D74284"/>
    <w:rsid w:val="00D75281"/>
    <w:rsid w:val="00D75DC3"/>
    <w:rsid w:val="00D84BB5"/>
    <w:rsid w:val="00D85540"/>
    <w:rsid w:val="00D85FFB"/>
    <w:rsid w:val="00D903F4"/>
    <w:rsid w:val="00D932E9"/>
    <w:rsid w:val="00D96213"/>
    <w:rsid w:val="00D96F89"/>
    <w:rsid w:val="00DA07CD"/>
    <w:rsid w:val="00DA2C52"/>
    <w:rsid w:val="00DB0EF1"/>
    <w:rsid w:val="00DB7499"/>
    <w:rsid w:val="00DB79AD"/>
    <w:rsid w:val="00DC468D"/>
    <w:rsid w:val="00DC4BCF"/>
    <w:rsid w:val="00DC629E"/>
    <w:rsid w:val="00DD2208"/>
    <w:rsid w:val="00DD5D37"/>
    <w:rsid w:val="00DD65D5"/>
    <w:rsid w:val="00DE3F47"/>
    <w:rsid w:val="00DF040C"/>
    <w:rsid w:val="00DF41C3"/>
    <w:rsid w:val="00DF5DF7"/>
    <w:rsid w:val="00E136F7"/>
    <w:rsid w:val="00E20B0C"/>
    <w:rsid w:val="00E23DAF"/>
    <w:rsid w:val="00E30252"/>
    <w:rsid w:val="00E311EE"/>
    <w:rsid w:val="00E35BD3"/>
    <w:rsid w:val="00E35C50"/>
    <w:rsid w:val="00E46C7A"/>
    <w:rsid w:val="00E50372"/>
    <w:rsid w:val="00E5314F"/>
    <w:rsid w:val="00E54432"/>
    <w:rsid w:val="00E54DBD"/>
    <w:rsid w:val="00E552BC"/>
    <w:rsid w:val="00E56504"/>
    <w:rsid w:val="00E56672"/>
    <w:rsid w:val="00E57679"/>
    <w:rsid w:val="00E60894"/>
    <w:rsid w:val="00E623D0"/>
    <w:rsid w:val="00E709DC"/>
    <w:rsid w:val="00E81E99"/>
    <w:rsid w:val="00E831EA"/>
    <w:rsid w:val="00E86760"/>
    <w:rsid w:val="00E9018D"/>
    <w:rsid w:val="00E91A7C"/>
    <w:rsid w:val="00E923C9"/>
    <w:rsid w:val="00E93B72"/>
    <w:rsid w:val="00E96CBE"/>
    <w:rsid w:val="00EA39A9"/>
    <w:rsid w:val="00EB4F87"/>
    <w:rsid w:val="00EB5905"/>
    <w:rsid w:val="00EC51B4"/>
    <w:rsid w:val="00EC5BEF"/>
    <w:rsid w:val="00EC7B1E"/>
    <w:rsid w:val="00ED023F"/>
    <w:rsid w:val="00ED1294"/>
    <w:rsid w:val="00ED3DF5"/>
    <w:rsid w:val="00ED53BC"/>
    <w:rsid w:val="00EE754B"/>
    <w:rsid w:val="00EE7A66"/>
    <w:rsid w:val="00F108C6"/>
    <w:rsid w:val="00F17638"/>
    <w:rsid w:val="00F20C2F"/>
    <w:rsid w:val="00F22A6D"/>
    <w:rsid w:val="00F248ED"/>
    <w:rsid w:val="00F26A26"/>
    <w:rsid w:val="00F33254"/>
    <w:rsid w:val="00F33769"/>
    <w:rsid w:val="00F36007"/>
    <w:rsid w:val="00F36D76"/>
    <w:rsid w:val="00F4016F"/>
    <w:rsid w:val="00F40A42"/>
    <w:rsid w:val="00F439BB"/>
    <w:rsid w:val="00F44753"/>
    <w:rsid w:val="00F502B3"/>
    <w:rsid w:val="00F61CD7"/>
    <w:rsid w:val="00F63D55"/>
    <w:rsid w:val="00F6677F"/>
    <w:rsid w:val="00F66AEE"/>
    <w:rsid w:val="00F67A65"/>
    <w:rsid w:val="00F715FA"/>
    <w:rsid w:val="00F73989"/>
    <w:rsid w:val="00F777F2"/>
    <w:rsid w:val="00F8404D"/>
    <w:rsid w:val="00F848DF"/>
    <w:rsid w:val="00F85A0F"/>
    <w:rsid w:val="00F85AEB"/>
    <w:rsid w:val="00F87B43"/>
    <w:rsid w:val="00F92003"/>
    <w:rsid w:val="00F94517"/>
    <w:rsid w:val="00F94B34"/>
    <w:rsid w:val="00F969DC"/>
    <w:rsid w:val="00FA06E6"/>
    <w:rsid w:val="00FA1885"/>
    <w:rsid w:val="00FA1E20"/>
    <w:rsid w:val="00FA5734"/>
    <w:rsid w:val="00FB4D39"/>
    <w:rsid w:val="00FB5D75"/>
    <w:rsid w:val="00FC06ED"/>
    <w:rsid w:val="00FC18A0"/>
    <w:rsid w:val="00FC4D28"/>
    <w:rsid w:val="00FC7269"/>
    <w:rsid w:val="00FD07A1"/>
    <w:rsid w:val="00FD48A7"/>
    <w:rsid w:val="00FD73A4"/>
    <w:rsid w:val="00FE2883"/>
    <w:rsid w:val="00FE7CE4"/>
    <w:rsid w:val="00FF1016"/>
    <w:rsid w:val="00FF27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963D6"/>
  <w15:docId w15:val="{A957A599-C9A3-F142-9582-8F46414D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rsid w:val="00F44753"/>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3">
    <w:name w:val="heading 3"/>
    <w:aliases w:val="ARGOMENTO"/>
    <w:basedOn w:val="Normal"/>
    <w:next w:val="Normal"/>
    <w:link w:val="Heading3Char"/>
    <w:uiPriority w:val="9"/>
    <w:unhideWhenUsed/>
    <w:qFormat/>
    <w:rsid w:val="00CB336C"/>
    <w:pPr>
      <w:keepNext/>
      <w:keepLines/>
      <w:spacing w:before="40"/>
      <w:jc w:val="center"/>
      <w:outlineLvl w:val="2"/>
    </w:pPr>
    <w:rPr>
      <w:rFonts w:ascii="Trade Gothic LT Std" w:eastAsiaTheme="majorEastAsia" w:hAnsi="Trade Gothic LT Std" w:cstheme="majorBidi"/>
      <w:b/>
      <w:color w:val="193E7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CB336C"/>
    <w:pPr>
      <w:tabs>
        <w:tab w:val="center" w:pos="4819"/>
        <w:tab w:val="right" w:pos="9638"/>
      </w:tabs>
    </w:pPr>
  </w:style>
  <w:style w:type="character" w:customStyle="1" w:styleId="HeaderChar">
    <w:name w:val="Header Char"/>
    <w:basedOn w:val="DefaultParagraphFont"/>
    <w:link w:val="Header"/>
    <w:uiPriority w:val="99"/>
    <w:rsid w:val="00CB336C"/>
    <w:rPr>
      <w:sz w:val="24"/>
      <w:szCs w:val="24"/>
      <w:lang w:val="en-US" w:eastAsia="en-US"/>
    </w:rPr>
  </w:style>
  <w:style w:type="paragraph" w:styleId="Footer">
    <w:name w:val="footer"/>
    <w:basedOn w:val="Normal"/>
    <w:link w:val="FooterChar"/>
    <w:uiPriority w:val="99"/>
    <w:unhideWhenUsed/>
    <w:rsid w:val="00CB336C"/>
    <w:pPr>
      <w:tabs>
        <w:tab w:val="center" w:pos="4819"/>
        <w:tab w:val="right" w:pos="9638"/>
      </w:tabs>
    </w:pPr>
  </w:style>
  <w:style w:type="character" w:customStyle="1" w:styleId="FooterChar">
    <w:name w:val="Footer Char"/>
    <w:basedOn w:val="DefaultParagraphFont"/>
    <w:link w:val="Footer"/>
    <w:uiPriority w:val="99"/>
    <w:rsid w:val="00CB336C"/>
    <w:rPr>
      <w:sz w:val="24"/>
      <w:szCs w:val="24"/>
      <w:lang w:val="en-US" w:eastAsia="en-US"/>
    </w:rPr>
  </w:style>
  <w:style w:type="table" w:styleId="TableGrid">
    <w:name w:val="Table Grid"/>
    <w:aliases w:val="Fincantieri"/>
    <w:basedOn w:val="TableNormal"/>
    <w:uiPriority w:val="39"/>
    <w:rsid w:val="00CB3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B336C"/>
  </w:style>
  <w:style w:type="paragraph" w:styleId="Title">
    <w:name w:val="Title"/>
    <w:basedOn w:val="Normal"/>
    <w:next w:val="Normal"/>
    <w:link w:val="TitleChar"/>
    <w:uiPriority w:val="10"/>
    <w:qFormat/>
    <w:rsid w:val="00CB336C"/>
    <w:pPr>
      <w:jc w:val="center"/>
    </w:pPr>
    <w:rPr>
      <w:rFonts w:ascii="Druk Wide Medium" w:hAnsi="Druk Wide Medium"/>
      <w:color w:val="1D3D71"/>
      <w:sz w:val="66"/>
      <w:szCs w:val="66"/>
      <w:lang w:val="it-IT" w:eastAsia="it-IT"/>
    </w:rPr>
  </w:style>
  <w:style w:type="character" w:customStyle="1" w:styleId="TitleChar">
    <w:name w:val="Title Char"/>
    <w:basedOn w:val="DefaultParagraphFont"/>
    <w:link w:val="Title"/>
    <w:uiPriority w:val="10"/>
    <w:rsid w:val="00CB336C"/>
    <w:rPr>
      <w:rFonts w:ascii="Druk Wide Medium" w:hAnsi="Druk Wide Medium"/>
      <w:color w:val="1D3D71"/>
      <w:sz w:val="66"/>
      <w:szCs w:val="66"/>
    </w:rPr>
  </w:style>
  <w:style w:type="paragraph" w:customStyle="1" w:styleId="IntestazioneCopertina">
    <w:name w:val="Intestazione Copertina"/>
    <w:basedOn w:val="Normal"/>
    <w:qFormat/>
    <w:rsid w:val="00CB336C"/>
    <w:pPr>
      <w:jc w:val="center"/>
    </w:pPr>
    <w:rPr>
      <w:rFonts w:ascii="Trade Gothic LT Std" w:hAnsi="Trade Gothic LT Std"/>
      <w:color w:val="193E71"/>
      <w:sz w:val="32"/>
      <w:szCs w:val="32"/>
    </w:rPr>
  </w:style>
  <w:style w:type="paragraph" w:customStyle="1" w:styleId="LuogoeData">
    <w:name w:val="Luogo e Data"/>
    <w:basedOn w:val="Normal"/>
    <w:qFormat/>
    <w:rsid w:val="00CB336C"/>
    <w:pPr>
      <w:jc w:val="center"/>
    </w:pPr>
    <w:rPr>
      <w:rFonts w:ascii="Trade Gothic LT Std" w:hAnsi="Trade Gothic LT Std"/>
      <w:color w:val="193E71"/>
      <w:sz w:val="20"/>
      <w:szCs w:val="20"/>
      <w:lang w:val="it-IT"/>
    </w:rPr>
  </w:style>
  <w:style w:type="character" w:customStyle="1" w:styleId="Heading3Char">
    <w:name w:val="Heading 3 Char"/>
    <w:aliases w:val="ARGOMENTO Char"/>
    <w:basedOn w:val="DefaultParagraphFont"/>
    <w:link w:val="Heading3"/>
    <w:uiPriority w:val="9"/>
    <w:rsid w:val="00CB336C"/>
    <w:rPr>
      <w:rFonts w:ascii="Trade Gothic LT Std" w:eastAsiaTheme="majorEastAsia" w:hAnsi="Trade Gothic LT Std" w:cstheme="majorBidi"/>
      <w:b/>
      <w:color w:val="193E71"/>
      <w:szCs w:val="24"/>
      <w:lang w:val="en-US" w:eastAsia="en-US"/>
    </w:rPr>
  </w:style>
  <w:style w:type="paragraph" w:customStyle="1" w:styleId="Testo">
    <w:name w:val="Testo"/>
    <w:basedOn w:val="Normal"/>
    <w:link w:val="TestoCarattere"/>
    <w:qFormat/>
    <w:rsid w:val="00CB336C"/>
    <w:rPr>
      <w:rFonts w:ascii="Trade Gothic LT Std" w:hAnsi="Trade Gothic LT Std"/>
      <w:color w:val="1D3D71"/>
      <w:sz w:val="20"/>
      <w:lang w:val="it-IT"/>
    </w:rPr>
  </w:style>
  <w:style w:type="paragraph" w:customStyle="1" w:styleId="Tabella">
    <w:name w:val="Tabella"/>
    <w:basedOn w:val="Normal"/>
    <w:qFormat/>
    <w:rsid w:val="00CB336C"/>
    <w:pPr>
      <w:pBdr>
        <w:top w:val="none" w:sz="0" w:space="0" w:color="auto"/>
        <w:left w:val="none" w:sz="0" w:space="0" w:color="auto"/>
        <w:bottom w:val="none" w:sz="0" w:space="0" w:color="auto"/>
        <w:right w:val="none" w:sz="0" w:space="0" w:color="auto"/>
        <w:between w:val="none" w:sz="0" w:space="0" w:color="auto"/>
        <w:bar w:val="none" w:sz="0" w:color="auto"/>
      </w:pBdr>
      <w:tabs>
        <w:tab w:val="left" w:pos="4364"/>
      </w:tabs>
      <w:jc w:val="center"/>
    </w:pPr>
    <w:rPr>
      <w:rFonts w:ascii="Fraktion Mono" w:hAnsi="Fraktion Mono"/>
      <w:color w:val="193E71"/>
      <w:sz w:val="20"/>
      <w:szCs w:val="20"/>
      <w:lang w:val="it-IT" w:eastAsia="it-IT"/>
    </w:rPr>
  </w:style>
  <w:style w:type="table" w:customStyle="1" w:styleId="TabellaFincanteiri">
    <w:name w:val="Tabella Fincanteiri"/>
    <w:basedOn w:val="TableNormal"/>
    <w:uiPriority w:val="99"/>
    <w:rsid w:val="00CB336C"/>
    <w:pPr>
      <w:pBdr>
        <w:top w:val="none" w:sz="0" w:space="0" w:color="auto"/>
        <w:left w:val="none" w:sz="0" w:space="0" w:color="auto"/>
        <w:bottom w:val="none" w:sz="0" w:space="0" w:color="auto"/>
        <w:right w:val="none" w:sz="0" w:space="0" w:color="auto"/>
        <w:between w:val="none" w:sz="0" w:space="0" w:color="auto"/>
        <w:bar w:val="none" w:sz="0" w:color="auto"/>
      </w:pBdr>
    </w:pPr>
    <w:tblPr>
      <w:tblBorders>
        <w:top w:val="single" w:sz="4" w:space="0" w:color="193E71"/>
      </w:tblBorders>
    </w:tblPr>
    <w:tblStylePr w:type="firstRow">
      <w:pPr>
        <w:jc w:val="left"/>
      </w:pPr>
      <w:rPr>
        <w:rFonts w:ascii="Fraktion Mono" w:hAnsi="Fraktion Mono"/>
        <w:b w:val="0"/>
        <w:i w:val="0"/>
        <w:color w:val="193E71"/>
      </w:rPr>
      <w:tblPr/>
      <w:tcPr>
        <w:tcBorders>
          <w:top w:val="nil"/>
        </w:tcBorders>
      </w:tcPr>
    </w:tblStylePr>
  </w:style>
  <w:style w:type="paragraph" w:customStyle="1" w:styleId="Elencopuntato">
    <w:name w:val="Elenco puntato"/>
    <w:basedOn w:val="Corpo"/>
    <w:qFormat/>
    <w:rsid w:val="00CB336C"/>
    <w:pPr>
      <w:numPr>
        <w:numId w:val="1"/>
      </w:numPr>
      <w:spacing w:line="480" w:lineRule="auto"/>
      <w:ind w:left="360" w:right="113"/>
    </w:pPr>
    <w:rPr>
      <w:rFonts w:ascii="Trade Gothic LT Std" w:hAnsi="Trade Gothic LT Std"/>
      <w:color w:val="193E71"/>
      <w:sz w:val="20"/>
    </w:rPr>
  </w:style>
  <w:style w:type="paragraph" w:customStyle="1" w:styleId="Intervento">
    <w:name w:val="Intervento"/>
    <w:basedOn w:val="Normal"/>
    <w:qFormat/>
    <w:rsid w:val="00CB336C"/>
    <w:pPr>
      <w:tabs>
        <w:tab w:val="left" w:pos="4364"/>
      </w:tabs>
    </w:pPr>
    <w:rPr>
      <w:rFonts w:ascii="Trade Gothic LT Std" w:hAnsi="Trade Gothic LT Std"/>
      <w:color w:val="FF0000"/>
      <w:sz w:val="20"/>
      <w:lang w:val="it-IT" w:eastAsia="it-IT"/>
    </w:rPr>
  </w:style>
  <w:style w:type="paragraph" w:styleId="Subtitle">
    <w:name w:val="Subtitle"/>
    <w:basedOn w:val="Normal"/>
    <w:next w:val="Normal"/>
    <w:link w:val="SubtitleChar"/>
    <w:uiPriority w:val="11"/>
    <w:qFormat/>
    <w:rsid w:val="00CB336C"/>
    <w:pPr>
      <w:numPr>
        <w:ilvl w:val="1"/>
      </w:numPr>
      <w:spacing w:after="160"/>
    </w:pPr>
    <w:rPr>
      <w:rFonts w:ascii="Trade Gothic LT Std" w:eastAsiaTheme="minorEastAsia" w:hAnsi="Trade Gothic LT Std" w:cstheme="minorBidi"/>
      <w:b/>
      <w:color w:val="1D3D71"/>
      <w:spacing w:val="15"/>
      <w:sz w:val="20"/>
      <w:szCs w:val="22"/>
    </w:rPr>
  </w:style>
  <w:style w:type="character" w:customStyle="1" w:styleId="SubtitleChar">
    <w:name w:val="Subtitle Char"/>
    <w:basedOn w:val="DefaultParagraphFont"/>
    <w:link w:val="Subtitle"/>
    <w:uiPriority w:val="11"/>
    <w:rsid w:val="00CB336C"/>
    <w:rPr>
      <w:rFonts w:ascii="Trade Gothic LT Std" w:eastAsiaTheme="minorEastAsia" w:hAnsi="Trade Gothic LT Std" w:cstheme="minorBidi"/>
      <w:b/>
      <w:color w:val="1D3D71"/>
      <w:spacing w:val="15"/>
      <w:szCs w:val="22"/>
      <w:lang w:val="en-US" w:eastAsia="en-US"/>
    </w:rPr>
  </w:style>
  <w:style w:type="paragraph" w:customStyle="1" w:styleId="BoilerPlateFoB">
    <w:name w:val="BoilerPlate FoB"/>
    <w:basedOn w:val="Testo"/>
    <w:link w:val="BoilerPlateFoBCarattere"/>
    <w:qFormat/>
    <w:rsid w:val="003C1FF5"/>
    <w:pPr>
      <w:jc w:val="both"/>
    </w:pPr>
    <w:rPr>
      <w:i/>
      <w:iCs/>
      <w:sz w:val="18"/>
      <w:szCs w:val="18"/>
    </w:rPr>
  </w:style>
  <w:style w:type="character" w:customStyle="1" w:styleId="TestoCarattere">
    <w:name w:val="Testo Carattere"/>
    <w:basedOn w:val="DefaultParagraphFont"/>
    <w:link w:val="Testo"/>
    <w:rsid w:val="003C1FF5"/>
    <w:rPr>
      <w:rFonts w:ascii="Trade Gothic LT Std" w:hAnsi="Trade Gothic LT Std"/>
      <w:color w:val="1D3D71"/>
      <w:szCs w:val="24"/>
      <w:lang w:eastAsia="en-US"/>
    </w:rPr>
  </w:style>
  <w:style w:type="character" w:customStyle="1" w:styleId="BoilerPlateFoBCarattere">
    <w:name w:val="BoilerPlate FoB Carattere"/>
    <w:basedOn w:val="TestoCarattere"/>
    <w:link w:val="BoilerPlateFoB"/>
    <w:rsid w:val="003C1FF5"/>
    <w:rPr>
      <w:rFonts w:ascii="Trade Gothic LT Std" w:hAnsi="Trade Gothic LT Std"/>
      <w:i/>
      <w:iCs/>
      <w:color w:val="1D3D71"/>
      <w:sz w:val="18"/>
      <w:szCs w:val="18"/>
      <w:lang w:eastAsia="en-US"/>
    </w:rPr>
  </w:style>
  <w:style w:type="paragraph" w:customStyle="1" w:styleId="TestoFoB">
    <w:name w:val="Testo FoB"/>
    <w:basedOn w:val="Normal"/>
    <w:link w:val="TestoFoBCarattere"/>
    <w:qFormat/>
    <w:rsid w:val="006224C3"/>
    <w:pPr>
      <w:spacing w:line="259" w:lineRule="auto"/>
      <w:jc w:val="both"/>
    </w:pPr>
    <w:rPr>
      <w:rFonts w:ascii="Trade Gothic LT Std" w:hAnsi="Trade Gothic LT Std"/>
      <w:color w:val="1D3D71"/>
      <w:lang w:val="it-IT"/>
    </w:rPr>
  </w:style>
  <w:style w:type="character" w:customStyle="1" w:styleId="TestoFoBCarattere">
    <w:name w:val="Testo FoB Carattere"/>
    <w:basedOn w:val="DefaultParagraphFont"/>
    <w:link w:val="TestoFoB"/>
    <w:rsid w:val="006224C3"/>
    <w:rPr>
      <w:rFonts w:ascii="Trade Gothic LT Std" w:hAnsi="Trade Gothic LT Std"/>
      <w:color w:val="1D3D71"/>
      <w:sz w:val="24"/>
      <w:szCs w:val="24"/>
      <w:lang w:eastAsia="en-US"/>
    </w:rPr>
  </w:style>
  <w:style w:type="character" w:styleId="CommentReference">
    <w:name w:val="annotation reference"/>
    <w:basedOn w:val="DefaultParagraphFont"/>
    <w:uiPriority w:val="99"/>
    <w:semiHidden/>
    <w:unhideWhenUsed/>
    <w:rsid w:val="00807A62"/>
    <w:rPr>
      <w:sz w:val="16"/>
      <w:szCs w:val="16"/>
    </w:rPr>
  </w:style>
  <w:style w:type="paragraph" w:styleId="CommentText">
    <w:name w:val="annotation text"/>
    <w:basedOn w:val="Normal"/>
    <w:link w:val="CommentTextChar"/>
    <w:uiPriority w:val="99"/>
    <w:unhideWhenUsed/>
    <w:rsid w:val="00807A62"/>
    <w:rPr>
      <w:sz w:val="20"/>
      <w:szCs w:val="20"/>
    </w:rPr>
  </w:style>
  <w:style w:type="character" w:customStyle="1" w:styleId="CommentTextChar">
    <w:name w:val="Comment Text Char"/>
    <w:basedOn w:val="DefaultParagraphFont"/>
    <w:link w:val="CommentText"/>
    <w:uiPriority w:val="99"/>
    <w:rsid w:val="00807A62"/>
    <w:rPr>
      <w:lang w:val="en-US" w:eastAsia="en-US"/>
    </w:rPr>
  </w:style>
  <w:style w:type="paragraph" w:styleId="CommentSubject">
    <w:name w:val="annotation subject"/>
    <w:basedOn w:val="CommentText"/>
    <w:next w:val="CommentText"/>
    <w:link w:val="CommentSubjectChar"/>
    <w:uiPriority w:val="99"/>
    <w:semiHidden/>
    <w:unhideWhenUsed/>
    <w:rsid w:val="00807A62"/>
    <w:rPr>
      <w:b/>
      <w:bCs/>
    </w:rPr>
  </w:style>
  <w:style w:type="character" w:customStyle="1" w:styleId="CommentSubjectChar">
    <w:name w:val="Comment Subject Char"/>
    <w:basedOn w:val="CommentTextChar"/>
    <w:link w:val="CommentSubject"/>
    <w:uiPriority w:val="99"/>
    <w:semiHidden/>
    <w:rsid w:val="00807A62"/>
    <w:rPr>
      <w:b/>
      <w:bCs/>
      <w:lang w:val="en-US" w:eastAsia="en-US"/>
    </w:rPr>
  </w:style>
  <w:style w:type="paragraph" w:customStyle="1" w:styleId="Default">
    <w:name w:val="Default"/>
    <w:rsid w:val="006511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Revision">
    <w:name w:val="Revision"/>
    <w:hidden/>
    <w:uiPriority w:val="99"/>
    <w:semiHidden/>
    <w:rsid w:val="005543F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TITOLOPRINCIPALEFoB">
    <w:name w:val="TITOLO PRINCIPALE FoB"/>
    <w:basedOn w:val="Title"/>
    <w:link w:val="TITOLOPRINCIPALEFoBCarattere"/>
    <w:qFormat/>
    <w:rsid w:val="005543FD"/>
    <w:rPr>
      <w:b/>
      <w:sz w:val="36"/>
      <w:szCs w:val="36"/>
    </w:rPr>
  </w:style>
  <w:style w:type="character" w:customStyle="1" w:styleId="TITOLOPRINCIPALEFoBCarattere">
    <w:name w:val="TITOLO PRINCIPALE FoB Carattere"/>
    <w:basedOn w:val="TitleChar"/>
    <w:link w:val="TITOLOPRINCIPALEFoB"/>
    <w:rsid w:val="005543FD"/>
    <w:rPr>
      <w:rFonts w:ascii="Druk Wide Medium" w:hAnsi="Druk Wide Medium"/>
      <w:b/>
      <w:color w:val="1D3D71"/>
      <w:sz w:val="36"/>
      <w:szCs w:val="36"/>
    </w:rPr>
  </w:style>
  <w:style w:type="paragraph" w:styleId="HTMLPreformatted">
    <w:name w:val="HTML Preformatted"/>
    <w:basedOn w:val="Normal"/>
    <w:link w:val="HTMLPreformattedChar"/>
    <w:uiPriority w:val="99"/>
    <w:semiHidden/>
    <w:unhideWhenUsed/>
    <w:rsid w:val="00330FC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30FC0"/>
    <w:rPr>
      <w:rFonts w:ascii="Consolas" w:hAnsi="Consolas"/>
      <w:lang w:val="en-US" w:eastAsia="en-US"/>
    </w:rPr>
  </w:style>
  <w:style w:type="character" w:customStyle="1" w:styleId="Heading1Char">
    <w:name w:val="Heading 1 Char"/>
    <w:basedOn w:val="DefaultParagraphFont"/>
    <w:link w:val="Heading1"/>
    <w:uiPriority w:val="9"/>
    <w:rsid w:val="00F44753"/>
    <w:rPr>
      <w:rFonts w:asciiTheme="majorHAnsi" w:eastAsiaTheme="majorEastAsia" w:hAnsiTheme="majorHAnsi" w:cstheme="majorBidi"/>
      <w:color w:val="0079BF" w:themeColor="accent1" w:themeShade="BF"/>
      <w:sz w:val="32"/>
      <w:szCs w:val="32"/>
      <w:lang w:val="en-US" w:eastAsia="en-US"/>
    </w:rPr>
  </w:style>
  <w:style w:type="paragraph" w:styleId="NormalWeb">
    <w:name w:val="Normal (Web)"/>
    <w:basedOn w:val="Normal"/>
    <w:uiPriority w:val="99"/>
    <w:semiHidden/>
    <w:unhideWhenUsed/>
    <w:rsid w:val="00BE5EA1"/>
  </w:style>
  <w:style w:type="paragraph" w:styleId="ListParagraph">
    <w:name w:val="List Paragraph"/>
    <w:basedOn w:val="Normal"/>
    <w:uiPriority w:val="34"/>
    <w:qFormat/>
    <w:rsid w:val="00CA0DE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kern w:val="2"/>
      <w:sz w:val="22"/>
      <w:szCs w:val="22"/>
      <w:bdr w:val="none" w:sz="0" w:space="0" w:color="auto"/>
      <w:lang w:val="it-IT"/>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69109">
      <w:bodyDiv w:val="1"/>
      <w:marLeft w:val="0"/>
      <w:marRight w:val="0"/>
      <w:marTop w:val="0"/>
      <w:marBottom w:val="0"/>
      <w:divBdr>
        <w:top w:val="none" w:sz="0" w:space="0" w:color="auto"/>
        <w:left w:val="none" w:sz="0" w:space="0" w:color="auto"/>
        <w:bottom w:val="none" w:sz="0" w:space="0" w:color="auto"/>
        <w:right w:val="none" w:sz="0" w:space="0" w:color="auto"/>
      </w:divBdr>
    </w:div>
    <w:div w:id="182982611">
      <w:bodyDiv w:val="1"/>
      <w:marLeft w:val="0"/>
      <w:marRight w:val="0"/>
      <w:marTop w:val="0"/>
      <w:marBottom w:val="0"/>
      <w:divBdr>
        <w:top w:val="none" w:sz="0" w:space="0" w:color="auto"/>
        <w:left w:val="none" w:sz="0" w:space="0" w:color="auto"/>
        <w:bottom w:val="none" w:sz="0" w:space="0" w:color="auto"/>
        <w:right w:val="none" w:sz="0" w:space="0" w:color="auto"/>
      </w:divBdr>
    </w:div>
    <w:div w:id="213125126">
      <w:bodyDiv w:val="1"/>
      <w:marLeft w:val="0"/>
      <w:marRight w:val="0"/>
      <w:marTop w:val="0"/>
      <w:marBottom w:val="0"/>
      <w:divBdr>
        <w:top w:val="none" w:sz="0" w:space="0" w:color="auto"/>
        <w:left w:val="none" w:sz="0" w:space="0" w:color="auto"/>
        <w:bottom w:val="none" w:sz="0" w:space="0" w:color="auto"/>
        <w:right w:val="none" w:sz="0" w:space="0" w:color="auto"/>
      </w:divBdr>
    </w:div>
    <w:div w:id="232159106">
      <w:bodyDiv w:val="1"/>
      <w:marLeft w:val="0"/>
      <w:marRight w:val="0"/>
      <w:marTop w:val="0"/>
      <w:marBottom w:val="0"/>
      <w:divBdr>
        <w:top w:val="none" w:sz="0" w:space="0" w:color="auto"/>
        <w:left w:val="none" w:sz="0" w:space="0" w:color="auto"/>
        <w:bottom w:val="none" w:sz="0" w:space="0" w:color="auto"/>
        <w:right w:val="none" w:sz="0" w:space="0" w:color="auto"/>
      </w:divBdr>
    </w:div>
    <w:div w:id="236013556">
      <w:bodyDiv w:val="1"/>
      <w:marLeft w:val="0"/>
      <w:marRight w:val="0"/>
      <w:marTop w:val="0"/>
      <w:marBottom w:val="0"/>
      <w:divBdr>
        <w:top w:val="none" w:sz="0" w:space="0" w:color="auto"/>
        <w:left w:val="none" w:sz="0" w:space="0" w:color="auto"/>
        <w:bottom w:val="none" w:sz="0" w:space="0" w:color="auto"/>
        <w:right w:val="none" w:sz="0" w:space="0" w:color="auto"/>
      </w:divBdr>
    </w:div>
    <w:div w:id="244269779">
      <w:bodyDiv w:val="1"/>
      <w:marLeft w:val="0"/>
      <w:marRight w:val="0"/>
      <w:marTop w:val="0"/>
      <w:marBottom w:val="0"/>
      <w:divBdr>
        <w:top w:val="none" w:sz="0" w:space="0" w:color="auto"/>
        <w:left w:val="none" w:sz="0" w:space="0" w:color="auto"/>
        <w:bottom w:val="none" w:sz="0" w:space="0" w:color="auto"/>
        <w:right w:val="none" w:sz="0" w:space="0" w:color="auto"/>
      </w:divBdr>
    </w:div>
    <w:div w:id="275404611">
      <w:bodyDiv w:val="1"/>
      <w:marLeft w:val="0"/>
      <w:marRight w:val="0"/>
      <w:marTop w:val="0"/>
      <w:marBottom w:val="0"/>
      <w:divBdr>
        <w:top w:val="none" w:sz="0" w:space="0" w:color="auto"/>
        <w:left w:val="none" w:sz="0" w:space="0" w:color="auto"/>
        <w:bottom w:val="none" w:sz="0" w:space="0" w:color="auto"/>
        <w:right w:val="none" w:sz="0" w:space="0" w:color="auto"/>
      </w:divBdr>
    </w:div>
    <w:div w:id="284703325">
      <w:bodyDiv w:val="1"/>
      <w:marLeft w:val="0"/>
      <w:marRight w:val="0"/>
      <w:marTop w:val="0"/>
      <w:marBottom w:val="0"/>
      <w:divBdr>
        <w:top w:val="none" w:sz="0" w:space="0" w:color="auto"/>
        <w:left w:val="none" w:sz="0" w:space="0" w:color="auto"/>
        <w:bottom w:val="none" w:sz="0" w:space="0" w:color="auto"/>
        <w:right w:val="none" w:sz="0" w:space="0" w:color="auto"/>
      </w:divBdr>
    </w:div>
    <w:div w:id="352659032">
      <w:bodyDiv w:val="1"/>
      <w:marLeft w:val="0"/>
      <w:marRight w:val="0"/>
      <w:marTop w:val="0"/>
      <w:marBottom w:val="0"/>
      <w:divBdr>
        <w:top w:val="none" w:sz="0" w:space="0" w:color="auto"/>
        <w:left w:val="none" w:sz="0" w:space="0" w:color="auto"/>
        <w:bottom w:val="none" w:sz="0" w:space="0" w:color="auto"/>
        <w:right w:val="none" w:sz="0" w:space="0" w:color="auto"/>
      </w:divBdr>
    </w:div>
    <w:div w:id="367724093">
      <w:bodyDiv w:val="1"/>
      <w:marLeft w:val="0"/>
      <w:marRight w:val="0"/>
      <w:marTop w:val="0"/>
      <w:marBottom w:val="0"/>
      <w:divBdr>
        <w:top w:val="none" w:sz="0" w:space="0" w:color="auto"/>
        <w:left w:val="none" w:sz="0" w:space="0" w:color="auto"/>
        <w:bottom w:val="none" w:sz="0" w:space="0" w:color="auto"/>
        <w:right w:val="none" w:sz="0" w:space="0" w:color="auto"/>
      </w:divBdr>
      <w:divsChild>
        <w:div w:id="158355869">
          <w:marLeft w:val="0"/>
          <w:marRight w:val="0"/>
          <w:marTop w:val="0"/>
          <w:marBottom w:val="0"/>
          <w:divBdr>
            <w:top w:val="single" w:sz="2" w:space="0" w:color="auto"/>
            <w:left w:val="single" w:sz="2" w:space="0" w:color="auto"/>
            <w:bottom w:val="single" w:sz="6" w:space="0" w:color="auto"/>
            <w:right w:val="single" w:sz="2" w:space="0" w:color="auto"/>
          </w:divBdr>
          <w:divsChild>
            <w:div w:id="298076015">
              <w:marLeft w:val="0"/>
              <w:marRight w:val="0"/>
              <w:marTop w:val="100"/>
              <w:marBottom w:val="100"/>
              <w:divBdr>
                <w:top w:val="single" w:sz="2" w:space="0" w:color="E5E7EB"/>
                <w:left w:val="single" w:sz="2" w:space="0" w:color="E5E7EB"/>
                <w:bottom w:val="single" w:sz="2" w:space="0" w:color="E5E7EB"/>
                <w:right w:val="single" w:sz="2" w:space="0" w:color="E5E7EB"/>
              </w:divBdr>
              <w:divsChild>
                <w:div w:id="1290747135">
                  <w:marLeft w:val="0"/>
                  <w:marRight w:val="0"/>
                  <w:marTop w:val="0"/>
                  <w:marBottom w:val="0"/>
                  <w:divBdr>
                    <w:top w:val="single" w:sz="2" w:space="0" w:color="E5E7EB"/>
                    <w:left w:val="single" w:sz="2" w:space="0" w:color="E5E7EB"/>
                    <w:bottom w:val="single" w:sz="2" w:space="0" w:color="E5E7EB"/>
                    <w:right w:val="single" w:sz="2" w:space="0" w:color="E5E7EB"/>
                  </w:divBdr>
                  <w:divsChild>
                    <w:div w:id="1146169158">
                      <w:marLeft w:val="0"/>
                      <w:marRight w:val="0"/>
                      <w:marTop w:val="0"/>
                      <w:marBottom w:val="0"/>
                      <w:divBdr>
                        <w:top w:val="single" w:sz="2" w:space="0" w:color="E5E7EB"/>
                        <w:left w:val="single" w:sz="2" w:space="0" w:color="E5E7EB"/>
                        <w:bottom w:val="single" w:sz="2" w:space="0" w:color="E5E7EB"/>
                        <w:right w:val="single" w:sz="2" w:space="0" w:color="E5E7EB"/>
                      </w:divBdr>
                      <w:divsChild>
                        <w:div w:id="5474543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71417909">
      <w:bodyDiv w:val="1"/>
      <w:marLeft w:val="0"/>
      <w:marRight w:val="0"/>
      <w:marTop w:val="0"/>
      <w:marBottom w:val="0"/>
      <w:divBdr>
        <w:top w:val="none" w:sz="0" w:space="0" w:color="auto"/>
        <w:left w:val="none" w:sz="0" w:space="0" w:color="auto"/>
        <w:bottom w:val="none" w:sz="0" w:space="0" w:color="auto"/>
        <w:right w:val="none" w:sz="0" w:space="0" w:color="auto"/>
      </w:divBdr>
    </w:div>
    <w:div w:id="480538538">
      <w:bodyDiv w:val="1"/>
      <w:marLeft w:val="0"/>
      <w:marRight w:val="0"/>
      <w:marTop w:val="0"/>
      <w:marBottom w:val="0"/>
      <w:divBdr>
        <w:top w:val="none" w:sz="0" w:space="0" w:color="auto"/>
        <w:left w:val="none" w:sz="0" w:space="0" w:color="auto"/>
        <w:bottom w:val="none" w:sz="0" w:space="0" w:color="auto"/>
        <w:right w:val="none" w:sz="0" w:space="0" w:color="auto"/>
      </w:divBdr>
    </w:div>
    <w:div w:id="483857871">
      <w:bodyDiv w:val="1"/>
      <w:marLeft w:val="0"/>
      <w:marRight w:val="0"/>
      <w:marTop w:val="0"/>
      <w:marBottom w:val="0"/>
      <w:divBdr>
        <w:top w:val="none" w:sz="0" w:space="0" w:color="auto"/>
        <w:left w:val="none" w:sz="0" w:space="0" w:color="auto"/>
        <w:bottom w:val="none" w:sz="0" w:space="0" w:color="auto"/>
        <w:right w:val="none" w:sz="0" w:space="0" w:color="auto"/>
      </w:divBdr>
    </w:div>
    <w:div w:id="510724824">
      <w:bodyDiv w:val="1"/>
      <w:marLeft w:val="0"/>
      <w:marRight w:val="0"/>
      <w:marTop w:val="0"/>
      <w:marBottom w:val="0"/>
      <w:divBdr>
        <w:top w:val="none" w:sz="0" w:space="0" w:color="auto"/>
        <w:left w:val="none" w:sz="0" w:space="0" w:color="auto"/>
        <w:bottom w:val="none" w:sz="0" w:space="0" w:color="auto"/>
        <w:right w:val="none" w:sz="0" w:space="0" w:color="auto"/>
      </w:divBdr>
    </w:div>
    <w:div w:id="580942870">
      <w:bodyDiv w:val="1"/>
      <w:marLeft w:val="0"/>
      <w:marRight w:val="0"/>
      <w:marTop w:val="0"/>
      <w:marBottom w:val="0"/>
      <w:divBdr>
        <w:top w:val="none" w:sz="0" w:space="0" w:color="auto"/>
        <w:left w:val="none" w:sz="0" w:space="0" w:color="auto"/>
        <w:bottom w:val="none" w:sz="0" w:space="0" w:color="auto"/>
        <w:right w:val="none" w:sz="0" w:space="0" w:color="auto"/>
      </w:divBdr>
    </w:div>
    <w:div w:id="585959497">
      <w:bodyDiv w:val="1"/>
      <w:marLeft w:val="0"/>
      <w:marRight w:val="0"/>
      <w:marTop w:val="0"/>
      <w:marBottom w:val="0"/>
      <w:divBdr>
        <w:top w:val="none" w:sz="0" w:space="0" w:color="auto"/>
        <w:left w:val="none" w:sz="0" w:space="0" w:color="auto"/>
        <w:bottom w:val="none" w:sz="0" w:space="0" w:color="auto"/>
        <w:right w:val="none" w:sz="0" w:space="0" w:color="auto"/>
      </w:divBdr>
    </w:div>
    <w:div w:id="618757364">
      <w:bodyDiv w:val="1"/>
      <w:marLeft w:val="0"/>
      <w:marRight w:val="0"/>
      <w:marTop w:val="0"/>
      <w:marBottom w:val="0"/>
      <w:divBdr>
        <w:top w:val="none" w:sz="0" w:space="0" w:color="auto"/>
        <w:left w:val="none" w:sz="0" w:space="0" w:color="auto"/>
        <w:bottom w:val="none" w:sz="0" w:space="0" w:color="auto"/>
        <w:right w:val="none" w:sz="0" w:space="0" w:color="auto"/>
      </w:divBdr>
    </w:div>
    <w:div w:id="631135872">
      <w:bodyDiv w:val="1"/>
      <w:marLeft w:val="0"/>
      <w:marRight w:val="0"/>
      <w:marTop w:val="0"/>
      <w:marBottom w:val="0"/>
      <w:divBdr>
        <w:top w:val="none" w:sz="0" w:space="0" w:color="auto"/>
        <w:left w:val="none" w:sz="0" w:space="0" w:color="auto"/>
        <w:bottom w:val="none" w:sz="0" w:space="0" w:color="auto"/>
        <w:right w:val="none" w:sz="0" w:space="0" w:color="auto"/>
      </w:divBdr>
    </w:div>
    <w:div w:id="656961910">
      <w:bodyDiv w:val="1"/>
      <w:marLeft w:val="0"/>
      <w:marRight w:val="0"/>
      <w:marTop w:val="0"/>
      <w:marBottom w:val="0"/>
      <w:divBdr>
        <w:top w:val="none" w:sz="0" w:space="0" w:color="auto"/>
        <w:left w:val="none" w:sz="0" w:space="0" w:color="auto"/>
        <w:bottom w:val="none" w:sz="0" w:space="0" w:color="auto"/>
        <w:right w:val="none" w:sz="0" w:space="0" w:color="auto"/>
      </w:divBdr>
    </w:div>
    <w:div w:id="668944323">
      <w:bodyDiv w:val="1"/>
      <w:marLeft w:val="0"/>
      <w:marRight w:val="0"/>
      <w:marTop w:val="0"/>
      <w:marBottom w:val="0"/>
      <w:divBdr>
        <w:top w:val="none" w:sz="0" w:space="0" w:color="auto"/>
        <w:left w:val="none" w:sz="0" w:space="0" w:color="auto"/>
        <w:bottom w:val="none" w:sz="0" w:space="0" w:color="auto"/>
        <w:right w:val="none" w:sz="0" w:space="0" w:color="auto"/>
      </w:divBdr>
    </w:div>
    <w:div w:id="709961364">
      <w:bodyDiv w:val="1"/>
      <w:marLeft w:val="0"/>
      <w:marRight w:val="0"/>
      <w:marTop w:val="0"/>
      <w:marBottom w:val="0"/>
      <w:divBdr>
        <w:top w:val="none" w:sz="0" w:space="0" w:color="auto"/>
        <w:left w:val="none" w:sz="0" w:space="0" w:color="auto"/>
        <w:bottom w:val="none" w:sz="0" w:space="0" w:color="auto"/>
        <w:right w:val="none" w:sz="0" w:space="0" w:color="auto"/>
      </w:divBdr>
    </w:div>
    <w:div w:id="720133884">
      <w:bodyDiv w:val="1"/>
      <w:marLeft w:val="0"/>
      <w:marRight w:val="0"/>
      <w:marTop w:val="0"/>
      <w:marBottom w:val="0"/>
      <w:divBdr>
        <w:top w:val="none" w:sz="0" w:space="0" w:color="auto"/>
        <w:left w:val="none" w:sz="0" w:space="0" w:color="auto"/>
        <w:bottom w:val="none" w:sz="0" w:space="0" w:color="auto"/>
        <w:right w:val="none" w:sz="0" w:space="0" w:color="auto"/>
      </w:divBdr>
    </w:div>
    <w:div w:id="1052926207">
      <w:bodyDiv w:val="1"/>
      <w:marLeft w:val="0"/>
      <w:marRight w:val="0"/>
      <w:marTop w:val="0"/>
      <w:marBottom w:val="0"/>
      <w:divBdr>
        <w:top w:val="none" w:sz="0" w:space="0" w:color="auto"/>
        <w:left w:val="none" w:sz="0" w:space="0" w:color="auto"/>
        <w:bottom w:val="none" w:sz="0" w:space="0" w:color="auto"/>
        <w:right w:val="none" w:sz="0" w:space="0" w:color="auto"/>
      </w:divBdr>
    </w:div>
    <w:div w:id="1191069304">
      <w:bodyDiv w:val="1"/>
      <w:marLeft w:val="0"/>
      <w:marRight w:val="0"/>
      <w:marTop w:val="0"/>
      <w:marBottom w:val="0"/>
      <w:divBdr>
        <w:top w:val="none" w:sz="0" w:space="0" w:color="auto"/>
        <w:left w:val="none" w:sz="0" w:space="0" w:color="auto"/>
        <w:bottom w:val="none" w:sz="0" w:space="0" w:color="auto"/>
        <w:right w:val="none" w:sz="0" w:space="0" w:color="auto"/>
      </w:divBdr>
    </w:div>
    <w:div w:id="1225291271">
      <w:bodyDiv w:val="1"/>
      <w:marLeft w:val="0"/>
      <w:marRight w:val="0"/>
      <w:marTop w:val="0"/>
      <w:marBottom w:val="0"/>
      <w:divBdr>
        <w:top w:val="none" w:sz="0" w:space="0" w:color="auto"/>
        <w:left w:val="none" w:sz="0" w:space="0" w:color="auto"/>
        <w:bottom w:val="none" w:sz="0" w:space="0" w:color="auto"/>
        <w:right w:val="none" w:sz="0" w:space="0" w:color="auto"/>
      </w:divBdr>
    </w:div>
    <w:div w:id="1399284289">
      <w:bodyDiv w:val="1"/>
      <w:marLeft w:val="0"/>
      <w:marRight w:val="0"/>
      <w:marTop w:val="0"/>
      <w:marBottom w:val="0"/>
      <w:divBdr>
        <w:top w:val="none" w:sz="0" w:space="0" w:color="auto"/>
        <w:left w:val="none" w:sz="0" w:space="0" w:color="auto"/>
        <w:bottom w:val="none" w:sz="0" w:space="0" w:color="auto"/>
        <w:right w:val="none" w:sz="0" w:space="0" w:color="auto"/>
      </w:divBdr>
    </w:div>
    <w:div w:id="1471022897">
      <w:bodyDiv w:val="1"/>
      <w:marLeft w:val="0"/>
      <w:marRight w:val="0"/>
      <w:marTop w:val="0"/>
      <w:marBottom w:val="0"/>
      <w:divBdr>
        <w:top w:val="none" w:sz="0" w:space="0" w:color="auto"/>
        <w:left w:val="none" w:sz="0" w:space="0" w:color="auto"/>
        <w:bottom w:val="none" w:sz="0" w:space="0" w:color="auto"/>
        <w:right w:val="none" w:sz="0" w:space="0" w:color="auto"/>
      </w:divBdr>
    </w:div>
    <w:div w:id="1515264243">
      <w:bodyDiv w:val="1"/>
      <w:marLeft w:val="0"/>
      <w:marRight w:val="0"/>
      <w:marTop w:val="0"/>
      <w:marBottom w:val="0"/>
      <w:divBdr>
        <w:top w:val="none" w:sz="0" w:space="0" w:color="auto"/>
        <w:left w:val="none" w:sz="0" w:space="0" w:color="auto"/>
        <w:bottom w:val="none" w:sz="0" w:space="0" w:color="auto"/>
        <w:right w:val="none" w:sz="0" w:space="0" w:color="auto"/>
      </w:divBdr>
    </w:div>
    <w:div w:id="1567454438">
      <w:bodyDiv w:val="1"/>
      <w:marLeft w:val="0"/>
      <w:marRight w:val="0"/>
      <w:marTop w:val="0"/>
      <w:marBottom w:val="0"/>
      <w:divBdr>
        <w:top w:val="none" w:sz="0" w:space="0" w:color="auto"/>
        <w:left w:val="none" w:sz="0" w:space="0" w:color="auto"/>
        <w:bottom w:val="none" w:sz="0" w:space="0" w:color="auto"/>
        <w:right w:val="none" w:sz="0" w:space="0" w:color="auto"/>
      </w:divBdr>
    </w:div>
    <w:div w:id="1666542942">
      <w:bodyDiv w:val="1"/>
      <w:marLeft w:val="0"/>
      <w:marRight w:val="0"/>
      <w:marTop w:val="0"/>
      <w:marBottom w:val="0"/>
      <w:divBdr>
        <w:top w:val="none" w:sz="0" w:space="0" w:color="auto"/>
        <w:left w:val="none" w:sz="0" w:space="0" w:color="auto"/>
        <w:bottom w:val="none" w:sz="0" w:space="0" w:color="auto"/>
        <w:right w:val="none" w:sz="0" w:space="0" w:color="auto"/>
      </w:divBdr>
    </w:div>
    <w:div w:id="1794783873">
      <w:bodyDiv w:val="1"/>
      <w:marLeft w:val="0"/>
      <w:marRight w:val="0"/>
      <w:marTop w:val="0"/>
      <w:marBottom w:val="0"/>
      <w:divBdr>
        <w:top w:val="none" w:sz="0" w:space="0" w:color="auto"/>
        <w:left w:val="none" w:sz="0" w:space="0" w:color="auto"/>
        <w:bottom w:val="none" w:sz="0" w:space="0" w:color="auto"/>
        <w:right w:val="none" w:sz="0" w:space="0" w:color="auto"/>
      </w:divBdr>
    </w:div>
    <w:div w:id="1937858631">
      <w:bodyDiv w:val="1"/>
      <w:marLeft w:val="0"/>
      <w:marRight w:val="0"/>
      <w:marTop w:val="0"/>
      <w:marBottom w:val="0"/>
      <w:divBdr>
        <w:top w:val="none" w:sz="0" w:space="0" w:color="auto"/>
        <w:left w:val="none" w:sz="0" w:space="0" w:color="auto"/>
        <w:bottom w:val="none" w:sz="0" w:space="0" w:color="auto"/>
        <w:right w:val="none" w:sz="0" w:space="0" w:color="auto"/>
      </w:divBdr>
    </w:div>
    <w:div w:id="2112163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ww.fincantieri.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nvestor.relations@fincantieri.it" TargetMode="External"/><Relationship Id="rId4" Type="http://schemas.openxmlformats.org/officeDocument/2006/relationships/settings" Target="settings.xml"/><Relationship Id="rId9" Type="http://schemas.openxmlformats.org/officeDocument/2006/relationships/hyperlink" Target="mailto:press.office@fincantieri.i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984C1-1B07-6643-8F11-84B03E7E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Pages>
  <Words>852</Words>
  <Characters>4860</Characters>
  <Application>Microsoft Office Word</Application>
  <DocSecurity>0</DocSecurity>
  <Lines>40</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FINCANTIERI PRESENTA “DEEP”: INNOVAZIONE E TECNOLOGIA PER IL DOMINIO SUBACQUEO</vt: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FINCANTIERI METTE IN ACQUA IL PRIMO SISTEMA INTEGRATO DI DRONI SUBACQUEI</dc:title>
  <dc:creator>Amilcare Valerio</dc:creator>
  <cp:lastModifiedBy>Tozzi Eleonora</cp:lastModifiedBy>
  <cp:revision>162</cp:revision>
  <cp:lastPrinted>2025-10-23T12:10:00Z</cp:lastPrinted>
  <dcterms:created xsi:type="dcterms:W3CDTF">2025-05-19T10:33:00Z</dcterms:created>
  <dcterms:modified xsi:type="dcterms:W3CDTF">2025-10-23T15:16:00Z</dcterms:modified>
</cp:coreProperties>
</file>